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12" w:rsidRDefault="00081B12" w:rsidP="00081B12">
      <w:pPr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Утверждено</w:t>
      </w:r>
    </w:p>
    <w:p w:rsidR="00081B12" w:rsidRDefault="00081B12" w:rsidP="00081B12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приказом  Управления</w:t>
      </w:r>
    </w:p>
    <w:p w:rsidR="00081B12" w:rsidRDefault="00081B12" w:rsidP="00081B12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образования № </w:t>
      </w:r>
      <w:r w:rsidR="00293D92">
        <w:rPr>
          <w:rFonts w:ascii="Times New Roman" w:hAnsi="Times New Roman"/>
          <w:sz w:val="28"/>
          <w:szCs w:val="28"/>
        </w:rPr>
        <w:t>319</w:t>
      </w:r>
    </w:p>
    <w:p w:rsidR="00081B12" w:rsidRDefault="00081B12" w:rsidP="00081B12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от </w:t>
      </w:r>
      <w:r w:rsidR="00293D9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.10.2016</w:t>
      </w:r>
    </w:p>
    <w:p w:rsidR="00081B12" w:rsidRDefault="00081B12" w:rsidP="00081B12">
      <w:pPr>
        <w:contextualSpacing/>
        <w:rPr>
          <w:rFonts w:ascii="Times New Roman" w:hAnsi="Times New Roman"/>
          <w:sz w:val="28"/>
          <w:szCs w:val="28"/>
        </w:rPr>
      </w:pPr>
    </w:p>
    <w:p w:rsidR="00081B12" w:rsidRDefault="00081B12" w:rsidP="00081B12">
      <w:pPr>
        <w:contextualSpacing/>
        <w:rPr>
          <w:rFonts w:ascii="Times New Roman" w:hAnsi="Times New Roman"/>
          <w:sz w:val="28"/>
          <w:szCs w:val="28"/>
        </w:rPr>
      </w:pPr>
    </w:p>
    <w:p w:rsidR="00081B12" w:rsidRDefault="00081B12" w:rsidP="00081B12">
      <w:pPr>
        <w:contextualSpacing/>
        <w:rPr>
          <w:rFonts w:ascii="Times New Roman" w:hAnsi="Times New Roman"/>
          <w:sz w:val="28"/>
          <w:szCs w:val="28"/>
        </w:rPr>
      </w:pPr>
    </w:p>
    <w:p w:rsidR="00081B12" w:rsidRDefault="00081B12" w:rsidP="00081B12">
      <w:pPr>
        <w:contextualSpacing/>
        <w:rPr>
          <w:rFonts w:ascii="Times New Roman" w:hAnsi="Times New Roman"/>
          <w:sz w:val="28"/>
          <w:szCs w:val="28"/>
        </w:rPr>
      </w:pPr>
    </w:p>
    <w:p w:rsidR="00081B12" w:rsidRDefault="00081B12" w:rsidP="00081B12">
      <w:pPr>
        <w:contextualSpacing/>
        <w:rPr>
          <w:rFonts w:ascii="Times New Roman" w:hAnsi="Times New Roman"/>
          <w:sz w:val="28"/>
          <w:szCs w:val="28"/>
        </w:rPr>
      </w:pPr>
    </w:p>
    <w:p w:rsidR="00081B12" w:rsidRDefault="00081B12" w:rsidP="00081B12">
      <w:pPr>
        <w:contextualSpacing/>
        <w:rPr>
          <w:rFonts w:ascii="Times New Roman" w:hAnsi="Times New Roman"/>
          <w:sz w:val="28"/>
          <w:szCs w:val="28"/>
        </w:rPr>
      </w:pP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Итоговый отчет</w:t>
      </w: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Управления образования</w:t>
      </w: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Харовского муниципального района</w:t>
      </w: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о результатах анализа состояния и перспектив</w:t>
      </w: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развития системы образования</w:t>
      </w: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Харовского муниципального района за 2015 год</w:t>
      </w: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</w:p>
    <w:p w:rsidR="00081B12" w:rsidRDefault="00081B12" w:rsidP="00081B12">
      <w:pPr>
        <w:contextualSpacing/>
        <w:jc w:val="center"/>
        <w:rPr>
          <w:rFonts w:ascii="Times New Roman" w:hAnsi="Times New Roman"/>
          <w:sz w:val="44"/>
          <w:szCs w:val="44"/>
        </w:rPr>
      </w:pPr>
    </w:p>
    <w:p w:rsidR="00081B12" w:rsidRPr="00C37357" w:rsidRDefault="00081B12" w:rsidP="00081B12">
      <w:pPr>
        <w:contextualSpacing/>
        <w:jc w:val="center"/>
        <w:rPr>
          <w:rFonts w:ascii="Times New Roman" w:hAnsi="Times New Roman"/>
          <w:sz w:val="32"/>
          <w:szCs w:val="32"/>
        </w:rPr>
      </w:pPr>
      <w:r w:rsidRPr="00C37357">
        <w:rPr>
          <w:rFonts w:ascii="Times New Roman" w:hAnsi="Times New Roman"/>
          <w:sz w:val="32"/>
          <w:szCs w:val="32"/>
        </w:rPr>
        <w:t>Харовск</w:t>
      </w:r>
    </w:p>
    <w:p w:rsidR="00081B12" w:rsidRDefault="00081B12" w:rsidP="00081B12">
      <w:pPr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2016 год</w:t>
      </w:r>
    </w:p>
    <w:p w:rsidR="00081B12" w:rsidRPr="00C37357" w:rsidRDefault="00081B12" w:rsidP="00081B12">
      <w:pPr>
        <w:contextualSpacing/>
        <w:rPr>
          <w:rFonts w:ascii="Times New Roman" w:hAnsi="Times New Roman"/>
          <w:b/>
          <w:sz w:val="28"/>
          <w:szCs w:val="28"/>
        </w:rPr>
      </w:pPr>
      <w:r w:rsidRPr="00C37357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sz w:val="28"/>
          <w:szCs w:val="28"/>
        </w:rPr>
        <w:t>. Анализ состояния и перспектив</w:t>
      </w:r>
      <w:r w:rsidRPr="00C37357">
        <w:rPr>
          <w:rFonts w:ascii="Times New Roman" w:hAnsi="Times New Roman"/>
          <w:b/>
          <w:sz w:val="28"/>
          <w:szCs w:val="28"/>
        </w:rPr>
        <w:t xml:space="preserve"> развития системы образования Харовского муниципального района.</w:t>
      </w:r>
    </w:p>
    <w:p w:rsidR="00081B12" w:rsidRDefault="00081B12" w:rsidP="00081B12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C37357">
        <w:rPr>
          <w:rFonts w:ascii="Times New Roman" w:hAnsi="Times New Roman"/>
          <w:b/>
          <w:sz w:val="28"/>
          <w:szCs w:val="28"/>
        </w:rPr>
        <w:tab/>
        <w:t>1. В</w:t>
      </w:r>
      <w:r>
        <w:rPr>
          <w:rFonts w:ascii="Times New Roman" w:hAnsi="Times New Roman"/>
          <w:b/>
          <w:sz w:val="28"/>
          <w:szCs w:val="28"/>
        </w:rPr>
        <w:t>в</w:t>
      </w:r>
      <w:r w:rsidRPr="00C37357">
        <w:rPr>
          <w:rFonts w:ascii="Times New Roman" w:hAnsi="Times New Roman"/>
          <w:b/>
          <w:sz w:val="28"/>
          <w:szCs w:val="28"/>
        </w:rPr>
        <w:t>одная часть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81B12" w:rsidRDefault="00081B12" w:rsidP="00081B12">
      <w:pPr>
        <w:pStyle w:val="a3"/>
        <w:contextualSpacing/>
        <w:jc w:val="both"/>
      </w:pPr>
      <w:r>
        <w:t xml:space="preserve">    </w:t>
      </w:r>
      <w:r>
        <w:tab/>
      </w:r>
      <w:r w:rsidRPr="008C7810">
        <w:rPr>
          <w:rFonts w:ascii="Times New Roman" w:hAnsi="Times New Roman"/>
          <w:b/>
          <w:sz w:val="28"/>
          <w:szCs w:val="28"/>
        </w:rPr>
        <w:t xml:space="preserve">Харовский муниципальный район </w:t>
      </w:r>
      <w:r w:rsidRPr="008C7810">
        <w:rPr>
          <w:rFonts w:ascii="Times New Roman" w:hAnsi="Times New Roman"/>
          <w:sz w:val="28"/>
          <w:szCs w:val="28"/>
        </w:rPr>
        <w:t>- муниципальное образование на севере Вологодской области, образованное 14 января 1929 года.</w:t>
      </w:r>
      <w:r w:rsidRPr="005A3B73">
        <w:t xml:space="preserve"> </w:t>
      </w:r>
    </w:p>
    <w:p w:rsidR="00081B12" w:rsidRDefault="00081B12" w:rsidP="00081B1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C7810">
        <w:rPr>
          <w:rFonts w:ascii="Times New Roman" w:hAnsi="Times New Roman"/>
          <w:sz w:val="28"/>
          <w:szCs w:val="28"/>
        </w:rPr>
        <w:t xml:space="preserve">На севере </w:t>
      </w:r>
      <w:r>
        <w:rPr>
          <w:rFonts w:ascii="Times New Roman" w:hAnsi="Times New Roman"/>
          <w:sz w:val="28"/>
          <w:szCs w:val="28"/>
        </w:rPr>
        <w:t>Харовский муниципальный район</w:t>
      </w:r>
      <w:r w:rsidRPr="008C7810">
        <w:rPr>
          <w:rFonts w:ascii="Times New Roman" w:hAnsi="Times New Roman"/>
          <w:sz w:val="28"/>
          <w:szCs w:val="28"/>
        </w:rPr>
        <w:t xml:space="preserve"> граничит с Вожегодским районом, на западе – с Усть-Кубинским, на юге – с Сокольским и на востоке – с Сямженским муниципальными районами. </w:t>
      </w:r>
    </w:p>
    <w:p w:rsidR="00081B12" w:rsidRDefault="00081B12" w:rsidP="00081B1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C7810">
        <w:rPr>
          <w:rFonts w:ascii="Times New Roman" w:hAnsi="Times New Roman"/>
          <w:sz w:val="28"/>
          <w:szCs w:val="28"/>
        </w:rPr>
        <w:t>Площадь территории района составляет  3560 км</w:t>
      </w:r>
      <w:r w:rsidRPr="008C7810">
        <w:rPr>
          <w:rFonts w:ascii="Times New Roman" w:hAnsi="Times New Roman"/>
          <w:sz w:val="28"/>
          <w:szCs w:val="28"/>
          <w:vertAlign w:val="superscript"/>
        </w:rPr>
        <w:t>2</w:t>
      </w:r>
      <w:r w:rsidRPr="008C7810">
        <w:rPr>
          <w:rFonts w:ascii="Times New Roman" w:hAnsi="Times New Roman"/>
          <w:sz w:val="28"/>
          <w:szCs w:val="28"/>
        </w:rPr>
        <w:t xml:space="preserve"> (2,46 % общей площади Вологодской области). Протяженность с севера на юг составляет около </w:t>
      </w:r>
      <w:smartTag w:uri="urn:schemas-microsoft-com:office:smarttags" w:element="metricconverter">
        <w:smartTagPr>
          <w:attr w:name="ProductID" w:val="2009 г"/>
        </w:smartTagPr>
        <w:r w:rsidRPr="008C7810">
          <w:rPr>
            <w:rFonts w:ascii="Times New Roman" w:hAnsi="Times New Roman"/>
            <w:sz w:val="28"/>
            <w:szCs w:val="28"/>
          </w:rPr>
          <w:t>75 км</w:t>
        </w:r>
      </w:smartTag>
      <w:r w:rsidRPr="008C7810">
        <w:rPr>
          <w:rFonts w:ascii="Times New Roman" w:hAnsi="Times New Roman"/>
          <w:sz w:val="28"/>
          <w:szCs w:val="28"/>
        </w:rPr>
        <w:t xml:space="preserve">, с запада на восток – около </w:t>
      </w:r>
      <w:smartTag w:uri="urn:schemas-microsoft-com:office:smarttags" w:element="metricconverter">
        <w:smartTagPr>
          <w:attr w:name="ProductID" w:val="2009 г"/>
        </w:smartTagPr>
        <w:r w:rsidRPr="008C7810">
          <w:rPr>
            <w:rFonts w:ascii="Times New Roman" w:hAnsi="Times New Roman"/>
            <w:sz w:val="28"/>
            <w:szCs w:val="28"/>
          </w:rPr>
          <w:t>90 км</w:t>
        </w:r>
      </w:smartTag>
      <w:r w:rsidRPr="008C7810">
        <w:rPr>
          <w:rFonts w:ascii="Times New Roman" w:hAnsi="Times New Roman"/>
          <w:sz w:val="28"/>
          <w:szCs w:val="28"/>
        </w:rPr>
        <w:t xml:space="preserve">. </w:t>
      </w:r>
    </w:p>
    <w:p w:rsidR="00081B12" w:rsidRPr="00033C36" w:rsidRDefault="00081B12" w:rsidP="00081B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5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25903">
        <w:rPr>
          <w:rFonts w:ascii="Times New Roman" w:hAnsi="Times New Roman"/>
          <w:sz w:val="28"/>
          <w:szCs w:val="28"/>
        </w:rPr>
        <w:t xml:space="preserve">Численность населения по состоянию на 1 </w:t>
      </w:r>
      <w:r>
        <w:rPr>
          <w:rFonts w:ascii="Times New Roman" w:hAnsi="Times New Roman"/>
          <w:sz w:val="28"/>
          <w:szCs w:val="28"/>
        </w:rPr>
        <w:t>января 2016 г. - 14741 человек</w:t>
      </w:r>
      <w:r w:rsidRPr="00033C3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33C36">
        <w:rPr>
          <w:rFonts w:ascii="Times New Roman" w:hAnsi="Times New Roman"/>
          <w:sz w:val="28"/>
          <w:szCs w:val="28"/>
        </w:rPr>
        <w:t>Из о</w:t>
      </w:r>
      <w:r>
        <w:rPr>
          <w:rFonts w:ascii="Times New Roman" w:hAnsi="Times New Roman"/>
          <w:sz w:val="28"/>
          <w:szCs w:val="28"/>
        </w:rPr>
        <w:t>бщей численности населения  6931</w:t>
      </w:r>
      <w:r w:rsidRPr="00033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составляют мужчины (47%), 7810 (53</w:t>
      </w:r>
      <w:r w:rsidRPr="00033C36">
        <w:rPr>
          <w:rFonts w:ascii="Times New Roman" w:hAnsi="Times New Roman"/>
          <w:sz w:val="28"/>
          <w:szCs w:val="28"/>
        </w:rPr>
        <w:t>%) - женщин</w:t>
      </w:r>
      <w:r>
        <w:rPr>
          <w:rFonts w:ascii="Times New Roman" w:hAnsi="Times New Roman"/>
          <w:sz w:val="28"/>
          <w:szCs w:val="28"/>
        </w:rPr>
        <w:t>ы</w:t>
      </w:r>
      <w:r w:rsidRPr="00033C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Демографический состав населения представлен в таблице:</w:t>
      </w:r>
    </w:p>
    <w:tbl>
      <w:tblPr>
        <w:tblpPr w:leftFromText="180" w:rightFromText="180" w:vertAnchor="text" w:horzAnchor="margin" w:tblpXSpec="center" w:tblpY="19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1262"/>
        <w:gridCol w:w="1263"/>
        <w:gridCol w:w="1262"/>
        <w:gridCol w:w="1159"/>
        <w:gridCol w:w="1062"/>
        <w:gridCol w:w="1246"/>
        <w:gridCol w:w="1246"/>
      </w:tblGrid>
      <w:tr w:rsidR="00081B12" w:rsidRPr="00F40074" w:rsidTr="00BE46EF">
        <w:trPr>
          <w:trHeight w:val="572"/>
        </w:trPr>
        <w:tc>
          <w:tcPr>
            <w:tcW w:w="1560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both"/>
            </w:pPr>
            <w:r w:rsidRPr="00FB0A4D">
              <w:t xml:space="preserve">Показатель </w:t>
            </w:r>
          </w:p>
        </w:tc>
        <w:tc>
          <w:tcPr>
            <w:tcW w:w="12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На</w:t>
            </w:r>
          </w:p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 xml:space="preserve"> 01.01.10 г.</w:t>
            </w:r>
          </w:p>
        </w:tc>
        <w:tc>
          <w:tcPr>
            <w:tcW w:w="1263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На</w:t>
            </w:r>
          </w:p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 xml:space="preserve"> 01.01.11 г.</w:t>
            </w:r>
          </w:p>
        </w:tc>
        <w:tc>
          <w:tcPr>
            <w:tcW w:w="12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На</w:t>
            </w:r>
          </w:p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 xml:space="preserve"> 01.01.12 г.</w:t>
            </w:r>
          </w:p>
        </w:tc>
        <w:tc>
          <w:tcPr>
            <w:tcW w:w="1159" w:type="dxa"/>
          </w:tcPr>
          <w:p w:rsidR="00081B12" w:rsidRPr="00FB0A4D" w:rsidRDefault="00081B12" w:rsidP="00BE46EF">
            <w:pPr>
              <w:pStyle w:val="a4"/>
              <w:tabs>
                <w:tab w:val="left" w:pos="24"/>
              </w:tabs>
              <w:snapToGrid w:val="0"/>
              <w:jc w:val="center"/>
            </w:pPr>
            <w:r w:rsidRPr="00FB0A4D">
              <w:t>На 01.01.13г.</w:t>
            </w:r>
          </w:p>
        </w:tc>
        <w:tc>
          <w:tcPr>
            <w:tcW w:w="10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На</w:t>
            </w:r>
          </w:p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 xml:space="preserve"> 01.01.14 г.</w:t>
            </w:r>
          </w:p>
        </w:tc>
        <w:tc>
          <w:tcPr>
            <w:tcW w:w="1246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На 01.01.2015 г.</w:t>
            </w:r>
          </w:p>
        </w:tc>
        <w:tc>
          <w:tcPr>
            <w:tcW w:w="1246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>
              <w:t>На 01.01.2016 г.</w:t>
            </w:r>
          </w:p>
          <w:p w:rsidR="00081B12" w:rsidRPr="00FB0A4D" w:rsidRDefault="00081B12" w:rsidP="00081B12">
            <w:pPr>
              <w:pStyle w:val="a4"/>
              <w:tabs>
                <w:tab w:val="left" w:pos="284"/>
              </w:tabs>
              <w:snapToGrid w:val="0"/>
            </w:pPr>
          </w:p>
        </w:tc>
      </w:tr>
      <w:tr w:rsidR="00081B12" w:rsidRPr="00F40074" w:rsidTr="00BE46EF">
        <w:trPr>
          <w:trHeight w:val="420"/>
        </w:trPr>
        <w:tc>
          <w:tcPr>
            <w:tcW w:w="1560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both"/>
            </w:pPr>
            <w:r w:rsidRPr="00FB0A4D">
              <w:t>Численность населения, чел.</w:t>
            </w:r>
          </w:p>
        </w:tc>
        <w:tc>
          <w:tcPr>
            <w:tcW w:w="12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17927</w:t>
            </w:r>
          </w:p>
        </w:tc>
        <w:tc>
          <w:tcPr>
            <w:tcW w:w="1263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16318</w:t>
            </w:r>
          </w:p>
        </w:tc>
        <w:tc>
          <w:tcPr>
            <w:tcW w:w="12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15981</w:t>
            </w:r>
          </w:p>
        </w:tc>
        <w:tc>
          <w:tcPr>
            <w:tcW w:w="1159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15543</w:t>
            </w:r>
          </w:p>
        </w:tc>
        <w:tc>
          <w:tcPr>
            <w:tcW w:w="10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15328</w:t>
            </w:r>
          </w:p>
        </w:tc>
        <w:tc>
          <w:tcPr>
            <w:tcW w:w="1246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15041</w:t>
            </w:r>
          </w:p>
        </w:tc>
        <w:tc>
          <w:tcPr>
            <w:tcW w:w="1246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>
              <w:t>14741</w:t>
            </w:r>
          </w:p>
        </w:tc>
      </w:tr>
      <w:tr w:rsidR="00081B12" w:rsidRPr="00F40074" w:rsidTr="00BE46EF">
        <w:trPr>
          <w:trHeight w:val="293"/>
        </w:trPr>
        <w:tc>
          <w:tcPr>
            <w:tcW w:w="1560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both"/>
            </w:pPr>
            <w:r w:rsidRPr="00FB0A4D">
              <w:t>-  мужчин</w:t>
            </w:r>
          </w:p>
        </w:tc>
        <w:tc>
          <w:tcPr>
            <w:tcW w:w="12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8275</w:t>
            </w:r>
          </w:p>
        </w:tc>
        <w:tc>
          <w:tcPr>
            <w:tcW w:w="1263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7552</w:t>
            </w:r>
          </w:p>
        </w:tc>
        <w:tc>
          <w:tcPr>
            <w:tcW w:w="12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7425</w:t>
            </w:r>
          </w:p>
        </w:tc>
        <w:tc>
          <w:tcPr>
            <w:tcW w:w="1159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7246</w:t>
            </w:r>
          </w:p>
        </w:tc>
        <w:tc>
          <w:tcPr>
            <w:tcW w:w="10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7096</w:t>
            </w:r>
          </w:p>
        </w:tc>
        <w:tc>
          <w:tcPr>
            <w:tcW w:w="1246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7044</w:t>
            </w:r>
          </w:p>
        </w:tc>
        <w:tc>
          <w:tcPr>
            <w:tcW w:w="1246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>
              <w:t>6931</w:t>
            </w:r>
          </w:p>
        </w:tc>
      </w:tr>
      <w:tr w:rsidR="00081B12" w:rsidRPr="00F40074" w:rsidTr="00BE46EF">
        <w:trPr>
          <w:trHeight w:val="293"/>
        </w:trPr>
        <w:tc>
          <w:tcPr>
            <w:tcW w:w="1560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both"/>
            </w:pPr>
            <w:r w:rsidRPr="00FB0A4D">
              <w:t>- женщин</w:t>
            </w:r>
          </w:p>
        </w:tc>
        <w:tc>
          <w:tcPr>
            <w:tcW w:w="12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9652</w:t>
            </w:r>
          </w:p>
        </w:tc>
        <w:tc>
          <w:tcPr>
            <w:tcW w:w="1263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8766</w:t>
            </w:r>
          </w:p>
        </w:tc>
        <w:tc>
          <w:tcPr>
            <w:tcW w:w="12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8556</w:t>
            </w:r>
          </w:p>
        </w:tc>
        <w:tc>
          <w:tcPr>
            <w:tcW w:w="1159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8297</w:t>
            </w:r>
          </w:p>
        </w:tc>
        <w:tc>
          <w:tcPr>
            <w:tcW w:w="10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8204</w:t>
            </w:r>
          </w:p>
        </w:tc>
        <w:tc>
          <w:tcPr>
            <w:tcW w:w="1246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7997</w:t>
            </w:r>
          </w:p>
        </w:tc>
        <w:tc>
          <w:tcPr>
            <w:tcW w:w="1246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>
              <w:t>7810</w:t>
            </w:r>
          </w:p>
        </w:tc>
      </w:tr>
      <w:tr w:rsidR="00081B12" w:rsidRPr="00F40074" w:rsidTr="00BE46EF">
        <w:trPr>
          <w:trHeight w:val="737"/>
        </w:trPr>
        <w:tc>
          <w:tcPr>
            <w:tcW w:w="1560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both"/>
            </w:pPr>
            <w:r w:rsidRPr="00FB0A4D">
              <w:t>Моложе трудоспособного возраста, чел</w:t>
            </w:r>
          </w:p>
        </w:tc>
        <w:tc>
          <w:tcPr>
            <w:tcW w:w="12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2844</w:t>
            </w:r>
          </w:p>
        </w:tc>
        <w:tc>
          <w:tcPr>
            <w:tcW w:w="1263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2549</w:t>
            </w:r>
          </w:p>
        </w:tc>
        <w:tc>
          <w:tcPr>
            <w:tcW w:w="12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2543</w:t>
            </w:r>
          </w:p>
        </w:tc>
        <w:tc>
          <w:tcPr>
            <w:tcW w:w="1159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2531</w:t>
            </w:r>
          </w:p>
        </w:tc>
        <w:tc>
          <w:tcPr>
            <w:tcW w:w="10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2494</w:t>
            </w:r>
          </w:p>
        </w:tc>
        <w:tc>
          <w:tcPr>
            <w:tcW w:w="1246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2607</w:t>
            </w:r>
          </w:p>
        </w:tc>
        <w:tc>
          <w:tcPr>
            <w:tcW w:w="1246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>
              <w:t>2597</w:t>
            </w:r>
          </w:p>
        </w:tc>
      </w:tr>
      <w:tr w:rsidR="00081B12" w:rsidRPr="00F40074" w:rsidTr="00BE46EF">
        <w:trPr>
          <w:trHeight w:val="452"/>
        </w:trPr>
        <w:tc>
          <w:tcPr>
            <w:tcW w:w="1560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both"/>
            </w:pPr>
            <w:r w:rsidRPr="00FB0A4D">
              <w:t>Трудоспособного возраста, чел</w:t>
            </w:r>
          </w:p>
        </w:tc>
        <w:tc>
          <w:tcPr>
            <w:tcW w:w="12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10189</w:t>
            </w:r>
          </w:p>
        </w:tc>
        <w:tc>
          <w:tcPr>
            <w:tcW w:w="1263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8963</w:t>
            </w:r>
          </w:p>
        </w:tc>
        <w:tc>
          <w:tcPr>
            <w:tcW w:w="12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8595</w:t>
            </w:r>
          </w:p>
        </w:tc>
        <w:tc>
          <w:tcPr>
            <w:tcW w:w="1159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8146</w:t>
            </w:r>
          </w:p>
        </w:tc>
        <w:tc>
          <w:tcPr>
            <w:tcW w:w="10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8045</w:t>
            </w:r>
          </w:p>
        </w:tc>
        <w:tc>
          <w:tcPr>
            <w:tcW w:w="1246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7353</w:t>
            </w:r>
          </w:p>
        </w:tc>
        <w:tc>
          <w:tcPr>
            <w:tcW w:w="1246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>
              <w:t>7052</w:t>
            </w:r>
          </w:p>
        </w:tc>
      </w:tr>
      <w:tr w:rsidR="00081B12" w:rsidRPr="00F40074" w:rsidTr="00BE46EF">
        <w:trPr>
          <w:trHeight w:val="730"/>
        </w:trPr>
        <w:tc>
          <w:tcPr>
            <w:tcW w:w="1560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both"/>
            </w:pPr>
            <w:r w:rsidRPr="00FB0A4D">
              <w:t>Старше трудоспособного возраста, чел</w:t>
            </w:r>
          </w:p>
        </w:tc>
        <w:tc>
          <w:tcPr>
            <w:tcW w:w="12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4894</w:t>
            </w:r>
          </w:p>
        </w:tc>
        <w:tc>
          <w:tcPr>
            <w:tcW w:w="1263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4806</w:t>
            </w:r>
          </w:p>
        </w:tc>
        <w:tc>
          <w:tcPr>
            <w:tcW w:w="12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4843</w:t>
            </w:r>
          </w:p>
        </w:tc>
        <w:tc>
          <w:tcPr>
            <w:tcW w:w="1159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4866</w:t>
            </w:r>
          </w:p>
        </w:tc>
        <w:tc>
          <w:tcPr>
            <w:tcW w:w="1062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4789</w:t>
            </w:r>
          </w:p>
        </w:tc>
        <w:tc>
          <w:tcPr>
            <w:tcW w:w="1246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 w:rsidRPr="00FB0A4D">
              <w:t>5081</w:t>
            </w:r>
          </w:p>
        </w:tc>
        <w:tc>
          <w:tcPr>
            <w:tcW w:w="1246" w:type="dxa"/>
          </w:tcPr>
          <w:p w:rsidR="00081B12" w:rsidRPr="00FB0A4D" w:rsidRDefault="00081B12" w:rsidP="00BE46EF">
            <w:pPr>
              <w:pStyle w:val="a4"/>
              <w:tabs>
                <w:tab w:val="left" w:pos="284"/>
              </w:tabs>
              <w:snapToGrid w:val="0"/>
              <w:jc w:val="center"/>
            </w:pPr>
            <w:r>
              <w:t>5092</w:t>
            </w:r>
          </w:p>
        </w:tc>
      </w:tr>
    </w:tbl>
    <w:p w:rsidR="00081B12" w:rsidRPr="00033C36" w:rsidRDefault="00081B12" w:rsidP="00081B12">
      <w:pPr>
        <w:tabs>
          <w:tab w:val="left" w:pos="0"/>
        </w:tabs>
        <w:ind w:firstLine="567"/>
        <w:contextualSpacing/>
        <w:rPr>
          <w:rFonts w:ascii="Times New Roman" w:hAnsi="Times New Roman"/>
          <w:color w:val="000000"/>
          <w:sz w:val="28"/>
          <w:szCs w:val="28"/>
        </w:rPr>
      </w:pPr>
      <w:r w:rsidRPr="00033C36">
        <w:rPr>
          <w:rFonts w:ascii="Times New Roman" w:hAnsi="Times New Roman"/>
          <w:color w:val="000000"/>
          <w:sz w:val="28"/>
          <w:szCs w:val="28"/>
        </w:rPr>
        <w:t xml:space="preserve">Району присущи все основные демографические тенденции, характерные для Вологодской области и России в целом. </w:t>
      </w:r>
      <w:r w:rsidRPr="00033C36">
        <w:rPr>
          <w:rFonts w:ascii="Times New Roman" w:hAnsi="Times New Roman"/>
          <w:sz w:val="28"/>
          <w:szCs w:val="28"/>
        </w:rPr>
        <w:t>На протяжении последних лет в структуре населения района наблюдается устойчивая тенденция снижения доли т</w:t>
      </w:r>
      <w:r>
        <w:rPr>
          <w:rFonts w:ascii="Times New Roman" w:hAnsi="Times New Roman"/>
          <w:sz w:val="28"/>
          <w:szCs w:val="28"/>
        </w:rPr>
        <w:t>рудоспособного населения: в 2015</w:t>
      </w:r>
      <w:r w:rsidRPr="00033C36">
        <w:rPr>
          <w:rFonts w:ascii="Times New Roman" w:hAnsi="Times New Roman"/>
          <w:sz w:val="28"/>
          <w:szCs w:val="28"/>
        </w:rPr>
        <w:t xml:space="preserve"> году население в трудоспособном возрасте составило </w:t>
      </w:r>
      <w:r>
        <w:rPr>
          <w:rFonts w:ascii="Times New Roman" w:hAnsi="Times New Roman"/>
          <w:sz w:val="28"/>
          <w:szCs w:val="28"/>
        </w:rPr>
        <w:t xml:space="preserve">47,18% (2014 год - </w:t>
      </w:r>
      <w:r w:rsidRPr="00033C36">
        <w:rPr>
          <w:rFonts w:ascii="Times New Roman" w:hAnsi="Times New Roman"/>
          <w:sz w:val="28"/>
          <w:szCs w:val="28"/>
        </w:rPr>
        <w:t>48,9%</w:t>
      </w:r>
      <w:r>
        <w:rPr>
          <w:rFonts w:ascii="Times New Roman" w:hAnsi="Times New Roman"/>
          <w:sz w:val="28"/>
          <w:szCs w:val="28"/>
        </w:rPr>
        <w:t>)</w:t>
      </w:r>
      <w:r w:rsidRPr="00033C36">
        <w:rPr>
          <w:rFonts w:ascii="Times New Roman" w:hAnsi="Times New Roman"/>
          <w:sz w:val="28"/>
          <w:szCs w:val="28"/>
        </w:rPr>
        <w:t xml:space="preserve">, доля лиц моложе трудоспособного возраста </w:t>
      </w:r>
      <w:r>
        <w:rPr>
          <w:rFonts w:ascii="Times New Roman" w:hAnsi="Times New Roman"/>
          <w:sz w:val="28"/>
          <w:szCs w:val="28"/>
        </w:rPr>
        <w:t>–</w:t>
      </w:r>
      <w:r w:rsidRPr="00033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17,6 % (2014 год - </w:t>
      </w:r>
      <w:r w:rsidRPr="00033C36">
        <w:rPr>
          <w:rFonts w:ascii="Times New Roman" w:hAnsi="Times New Roman"/>
          <w:sz w:val="28"/>
          <w:szCs w:val="28"/>
        </w:rPr>
        <w:t>17,3%</w:t>
      </w:r>
      <w:r>
        <w:rPr>
          <w:rFonts w:ascii="Times New Roman" w:hAnsi="Times New Roman"/>
          <w:sz w:val="28"/>
          <w:szCs w:val="28"/>
        </w:rPr>
        <w:t>)</w:t>
      </w:r>
      <w:r w:rsidRPr="00033C36">
        <w:rPr>
          <w:rFonts w:ascii="Times New Roman" w:hAnsi="Times New Roman"/>
          <w:sz w:val="28"/>
          <w:szCs w:val="28"/>
        </w:rPr>
        <w:t xml:space="preserve"> ,  старше трудоспособного возраста – </w:t>
      </w:r>
      <w:r>
        <w:rPr>
          <w:rFonts w:ascii="Times New Roman" w:hAnsi="Times New Roman"/>
          <w:sz w:val="28"/>
          <w:szCs w:val="28"/>
        </w:rPr>
        <w:t xml:space="preserve">34,5% (2014 год - </w:t>
      </w:r>
      <w:r w:rsidRPr="00033C36">
        <w:rPr>
          <w:rFonts w:ascii="Times New Roman" w:hAnsi="Times New Roman"/>
          <w:sz w:val="28"/>
          <w:szCs w:val="28"/>
        </w:rPr>
        <w:t>33,7 %</w:t>
      </w:r>
      <w:r>
        <w:rPr>
          <w:rFonts w:ascii="Times New Roman" w:hAnsi="Times New Roman"/>
          <w:sz w:val="28"/>
          <w:szCs w:val="28"/>
        </w:rPr>
        <w:t>)</w:t>
      </w:r>
      <w:r w:rsidRPr="00033C3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C36">
        <w:rPr>
          <w:rFonts w:ascii="Times New Roman" w:hAnsi="Times New Roman"/>
          <w:color w:val="000000"/>
          <w:sz w:val="28"/>
          <w:szCs w:val="28"/>
        </w:rPr>
        <w:t>Уменьшение доли трудоспособного населения происходит за счёт оттока молодёжи в города, растёт число деревень без постоянных жителей. Доля городского насе</w:t>
      </w:r>
      <w:r>
        <w:rPr>
          <w:rFonts w:ascii="Times New Roman" w:hAnsi="Times New Roman"/>
          <w:color w:val="000000"/>
          <w:sz w:val="28"/>
          <w:szCs w:val="28"/>
        </w:rPr>
        <w:t>ления в 2014 году составила 63%, сельского населения – 37</w:t>
      </w:r>
      <w:r w:rsidRPr="00033C36">
        <w:rPr>
          <w:rFonts w:ascii="Times New Roman" w:hAnsi="Times New Roman"/>
          <w:color w:val="000000"/>
          <w:sz w:val="28"/>
          <w:szCs w:val="28"/>
        </w:rPr>
        <w:t xml:space="preserve"> %.</w:t>
      </w:r>
      <w:r>
        <w:rPr>
          <w:rFonts w:ascii="Times New Roman" w:hAnsi="Times New Roman"/>
          <w:sz w:val="28"/>
          <w:szCs w:val="28"/>
        </w:rPr>
        <w:t xml:space="preserve"> В 2015</w:t>
      </w:r>
      <w:r w:rsidRPr="00033C36">
        <w:rPr>
          <w:rFonts w:ascii="Times New Roman" w:hAnsi="Times New Roman"/>
          <w:sz w:val="28"/>
          <w:szCs w:val="28"/>
        </w:rPr>
        <w:t xml:space="preserve"> году  по данным Вологдастат в районе родилось </w:t>
      </w:r>
      <w:r>
        <w:rPr>
          <w:rFonts w:ascii="Times New Roman" w:hAnsi="Times New Roman"/>
          <w:sz w:val="28"/>
          <w:szCs w:val="28"/>
        </w:rPr>
        <w:t xml:space="preserve">157 (в 2014 году - </w:t>
      </w:r>
      <w:r w:rsidRPr="00033C36">
        <w:rPr>
          <w:rFonts w:ascii="Times New Roman" w:hAnsi="Times New Roman"/>
          <w:sz w:val="28"/>
          <w:szCs w:val="28"/>
        </w:rPr>
        <w:t>207 детей</w:t>
      </w:r>
      <w:r w:rsidR="001E192C">
        <w:rPr>
          <w:rFonts w:ascii="Times New Roman" w:hAnsi="Times New Roman"/>
          <w:sz w:val="28"/>
          <w:szCs w:val="28"/>
        </w:rPr>
        <w:t>), что  на  4</w:t>
      </w:r>
      <w:r>
        <w:rPr>
          <w:rFonts w:ascii="Times New Roman" w:hAnsi="Times New Roman"/>
          <w:sz w:val="28"/>
          <w:szCs w:val="28"/>
        </w:rPr>
        <w:t xml:space="preserve">0 </w:t>
      </w:r>
      <w:r w:rsidR="001E192C">
        <w:rPr>
          <w:rFonts w:ascii="Times New Roman" w:hAnsi="Times New Roman"/>
          <w:sz w:val="28"/>
          <w:szCs w:val="28"/>
        </w:rPr>
        <w:t xml:space="preserve"> детей меньше, чем в 2009</w:t>
      </w:r>
      <w:r w:rsidRPr="00033C36">
        <w:rPr>
          <w:rFonts w:ascii="Times New Roman" w:hAnsi="Times New Roman"/>
          <w:sz w:val="28"/>
          <w:szCs w:val="28"/>
        </w:rPr>
        <w:t xml:space="preserve"> году.  Численность умерших -  </w:t>
      </w:r>
      <w:r w:rsidR="001E192C">
        <w:rPr>
          <w:rFonts w:ascii="Times New Roman" w:hAnsi="Times New Roman"/>
          <w:sz w:val="28"/>
          <w:szCs w:val="28"/>
        </w:rPr>
        <w:t xml:space="preserve">335 </w:t>
      </w:r>
      <w:r w:rsidRPr="00033C36">
        <w:rPr>
          <w:rFonts w:ascii="Times New Roman" w:hAnsi="Times New Roman"/>
          <w:sz w:val="28"/>
          <w:szCs w:val="28"/>
        </w:rPr>
        <w:t>298  человек</w:t>
      </w:r>
      <w:r w:rsidR="001E192C">
        <w:rPr>
          <w:rFonts w:ascii="Times New Roman" w:hAnsi="Times New Roman"/>
          <w:sz w:val="28"/>
          <w:szCs w:val="28"/>
        </w:rPr>
        <w:t xml:space="preserve"> </w:t>
      </w:r>
      <w:r w:rsidR="001E192C">
        <w:rPr>
          <w:rFonts w:ascii="Times New Roman" w:hAnsi="Times New Roman"/>
          <w:sz w:val="28"/>
          <w:szCs w:val="28"/>
        </w:rPr>
        <w:lastRenderedPageBreak/>
        <w:t xml:space="preserve">(2014 год -  </w:t>
      </w:r>
      <w:r w:rsidR="001E192C" w:rsidRPr="00033C36">
        <w:rPr>
          <w:rFonts w:ascii="Times New Roman" w:hAnsi="Times New Roman"/>
          <w:sz w:val="28"/>
          <w:szCs w:val="28"/>
        </w:rPr>
        <w:t>298</w:t>
      </w:r>
      <w:r w:rsidR="001E192C">
        <w:rPr>
          <w:rFonts w:ascii="Times New Roman" w:hAnsi="Times New Roman"/>
          <w:sz w:val="28"/>
          <w:szCs w:val="28"/>
        </w:rPr>
        <w:t xml:space="preserve">) </w:t>
      </w:r>
      <w:r w:rsidRPr="00033C36">
        <w:rPr>
          <w:rFonts w:ascii="Times New Roman" w:hAnsi="Times New Roman"/>
          <w:sz w:val="28"/>
          <w:szCs w:val="28"/>
        </w:rPr>
        <w:t>, что н</w:t>
      </w:r>
      <w:r w:rsidR="001E192C">
        <w:rPr>
          <w:rFonts w:ascii="Times New Roman" w:hAnsi="Times New Roman"/>
          <w:sz w:val="28"/>
          <w:szCs w:val="28"/>
        </w:rPr>
        <w:t>а 30 человека больше,</w:t>
      </w:r>
      <w:r w:rsidRPr="00033C36">
        <w:rPr>
          <w:rFonts w:ascii="Times New Roman" w:hAnsi="Times New Roman"/>
          <w:sz w:val="28"/>
          <w:szCs w:val="28"/>
        </w:rPr>
        <w:t xml:space="preserve"> чем в 2009 году.</w:t>
      </w:r>
      <w:r w:rsidR="001E192C">
        <w:rPr>
          <w:rFonts w:ascii="Times New Roman" w:hAnsi="Times New Roman"/>
          <w:sz w:val="28"/>
          <w:szCs w:val="28"/>
        </w:rPr>
        <w:t xml:space="preserve"> Естественная убыль составила 178</w:t>
      </w:r>
      <w:r w:rsidRPr="00033C36">
        <w:rPr>
          <w:rFonts w:ascii="Times New Roman" w:hAnsi="Times New Roman"/>
          <w:sz w:val="28"/>
          <w:szCs w:val="28"/>
        </w:rPr>
        <w:t xml:space="preserve"> человек</w:t>
      </w:r>
      <w:r w:rsidR="001E192C">
        <w:rPr>
          <w:rFonts w:ascii="Times New Roman" w:hAnsi="Times New Roman"/>
          <w:sz w:val="28"/>
          <w:szCs w:val="28"/>
        </w:rPr>
        <w:t xml:space="preserve"> (2014 год – 91 человек)</w:t>
      </w:r>
      <w:r w:rsidRPr="00033C36">
        <w:rPr>
          <w:rFonts w:ascii="Times New Roman" w:hAnsi="Times New Roman"/>
          <w:sz w:val="28"/>
          <w:szCs w:val="28"/>
        </w:rPr>
        <w:t xml:space="preserve">. </w:t>
      </w:r>
    </w:p>
    <w:p w:rsidR="00081B12" w:rsidRDefault="00081B12" w:rsidP="00081B12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территории</w:t>
      </w:r>
      <w:r w:rsidRPr="00815872">
        <w:rPr>
          <w:rFonts w:ascii="Times New Roman" w:hAnsi="Times New Roman"/>
          <w:sz w:val="28"/>
          <w:szCs w:val="28"/>
        </w:rPr>
        <w:t xml:space="preserve"> расположен</w:t>
      </w:r>
      <w:r>
        <w:rPr>
          <w:rFonts w:ascii="Times New Roman" w:hAnsi="Times New Roman"/>
          <w:sz w:val="28"/>
          <w:szCs w:val="28"/>
        </w:rPr>
        <w:t>о</w:t>
      </w:r>
      <w:r w:rsidRPr="00815872">
        <w:rPr>
          <w:rFonts w:ascii="Times New Roman" w:hAnsi="Times New Roman"/>
          <w:sz w:val="28"/>
          <w:szCs w:val="28"/>
        </w:rPr>
        <w:t xml:space="preserve"> 386 населенных пунктов. </w:t>
      </w:r>
    </w:p>
    <w:p w:rsidR="00081B12" w:rsidRPr="00AF114E" w:rsidRDefault="00081B12" w:rsidP="00081B12">
      <w:pPr>
        <w:pStyle w:val="3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В состав Харовского</w:t>
      </w:r>
      <w:r w:rsidR="001E192C">
        <w:rPr>
          <w:sz w:val="28"/>
          <w:szCs w:val="28"/>
        </w:rPr>
        <w:t xml:space="preserve"> муниципального района входит 5</w:t>
      </w:r>
      <w:r w:rsidRPr="00D25E67">
        <w:rPr>
          <w:sz w:val="28"/>
          <w:szCs w:val="28"/>
        </w:rPr>
        <w:t xml:space="preserve"> сельских и 1 гор</w:t>
      </w:r>
      <w:r>
        <w:rPr>
          <w:sz w:val="28"/>
          <w:szCs w:val="28"/>
        </w:rPr>
        <w:t>одское поселение.</w:t>
      </w:r>
    </w:p>
    <w:p w:rsidR="00081B12" w:rsidRDefault="00081B12" w:rsidP="00081B1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40DF1">
        <w:rPr>
          <w:rFonts w:ascii="Times New Roman" w:hAnsi="Times New Roman"/>
          <w:sz w:val="28"/>
          <w:szCs w:val="28"/>
        </w:rPr>
        <w:t xml:space="preserve">а территории района зарегистрировано </w:t>
      </w:r>
      <w:r w:rsidR="001E192C">
        <w:rPr>
          <w:rFonts w:ascii="Times New Roman" w:hAnsi="Times New Roman"/>
          <w:sz w:val="28"/>
          <w:szCs w:val="28"/>
        </w:rPr>
        <w:t xml:space="preserve">267 </w:t>
      </w:r>
      <w:r w:rsidRPr="00D40DF1">
        <w:rPr>
          <w:rFonts w:ascii="Times New Roman" w:hAnsi="Times New Roman"/>
          <w:sz w:val="28"/>
          <w:szCs w:val="28"/>
        </w:rPr>
        <w:t xml:space="preserve">предприятий и организаций различных форм собственности. </w:t>
      </w:r>
    </w:p>
    <w:p w:rsidR="00081B12" w:rsidRPr="00B2173D" w:rsidRDefault="00081B12" w:rsidP="00081B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b/>
        </w:rPr>
        <w:t xml:space="preserve">    </w:t>
      </w:r>
      <w:r>
        <w:rPr>
          <w:b/>
        </w:rPr>
        <w:tab/>
      </w:r>
      <w:r w:rsidRPr="00954946">
        <w:rPr>
          <w:rFonts w:ascii="Times New Roman" w:hAnsi="Times New Roman"/>
          <w:sz w:val="28"/>
          <w:szCs w:val="28"/>
        </w:rPr>
        <w:t>Уровень официально зарегистрированной безработицы</w:t>
      </w:r>
      <w:r>
        <w:rPr>
          <w:rFonts w:ascii="Times New Roman" w:hAnsi="Times New Roman"/>
          <w:sz w:val="28"/>
          <w:szCs w:val="28"/>
        </w:rPr>
        <w:t xml:space="preserve"> </w:t>
      </w:r>
      <w:r w:rsidR="001E192C">
        <w:rPr>
          <w:rFonts w:ascii="Times New Roman" w:hAnsi="Times New Roman"/>
          <w:sz w:val="28"/>
          <w:szCs w:val="28"/>
        </w:rPr>
        <w:t xml:space="preserve"> составил 1,8</w:t>
      </w:r>
      <w:r w:rsidRPr="00B2173D">
        <w:rPr>
          <w:rFonts w:ascii="Times New Roman" w:hAnsi="Times New Roman"/>
          <w:sz w:val="28"/>
          <w:szCs w:val="28"/>
        </w:rPr>
        <w:t xml:space="preserve"> %</w:t>
      </w:r>
      <w:r w:rsidR="001E192C">
        <w:rPr>
          <w:rFonts w:ascii="Times New Roman" w:hAnsi="Times New Roman"/>
          <w:sz w:val="28"/>
          <w:szCs w:val="28"/>
        </w:rPr>
        <w:t xml:space="preserve"> (2014 год – 1,9%)</w:t>
      </w:r>
      <w:r w:rsidRPr="00B2173D">
        <w:rPr>
          <w:rFonts w:ascii="Times New Roman" w:hAnsi="Times New Roman"/>
          <w:sz w:val="28"/>
          <w:szCs w:val="28"/>
        </w:rPr>
        <w:t>, что превышает среднеобластной показатель численности экономически ак</w:t>
      </w:r>
      <w:r>
        <w:rPr>
          <w:rFonts w:ascii="Times New Roman" w:hAnsi="Times New Roman"/>
          <w:sz w:val="28"/>
          <w:szCs w:val="28"/>
        </w:rPr>
        <w:t>тивного населения (</w:t>
      </w:r>
      <w:r w:rsidR="001E192C">
        <w:rPr>
          <w:rFonts w:ascii="Times New Roman" w:hAnsi="Times New Roman"/>
          <w:sz w:val="28"/>
          <w:szCs w:val="28"/>
        </w:rPr>
        <w:t>1,6</w:t>
      </w:r>
      <w:r w:rsidRPr="00B2173D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B2173D">
        <w:rPr>
          <w:rFonts w:ascii="Times New Roman" w:hAnsi="Times New Roman"/>
          <w:sz w:val="28"/>
          <w:szCs w:val="28"/>
        </w:rPr>
        <w:t xml:space="preserve">. </w:t>
      </w:r>
    </w:p>
    <w:p w:rsidR="00081B12" w:rsidRPr="0017707B" w:rsidRDefault="00081B12" w:rsidP="00081B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В </w:t>
      </w:r>
      <w:r w:rsidR="001E192C">
        <w:rPr>
          <w:rFonts w:ascii="Times New Roman" w:hAnsi="Times New Roman"/>
          <w:sz w:val="28"/>
          <w:szCs w:val="28"/>
        </w:rPr>
        <w:t>2015</w:t>
      </w:r>
      <w:r w:rsidRPr="0017707B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17707B">
        <w:rPr>
          <w:rFonts w:ascii="Times New Roman" w:hAnsi="Times New Roman"/>
          <w:sz w:val="28"/>
          <w:szCs w:val="28"/>
        </w:rPr>
        <w:t xml:space="preserve"> </w:t>
      </w:r>
      <w:r w:rsidRPr="00954946">
        <w:rPr>
          <w:rFonts w:ascii="Times New Roman" w:hAnsi="Times New Roman"/>
          <w:sz w:val="28"/>
          <w:szCs w:val="28"/>
        </w:rPr>
        <w:t>среднемесячная заработная плата</w:t>
      </w:r>
      <w:r>
        <w:rPr>
          <w:rFonts w:ascii="Times New Roman" w:hAnsi="Times New Roman"/>
          <w:sz w:val="28"/>
          <w:szCs w:val="28"/>
        </w:rPr>
        <w:t xml:space="preserve"> работников крупных и средних организаций</w:t>
      </w:r>
      <w:r w:rsidR="001E192C">
        <w:rPr>
          <w:rFonts w:ascii="Times New Roman" w:hAnsi="Times New Roman"/>
          <w:sz w:val="28"/>
          <w:szCs w:val="28"/>
        </w:rPr>
        <w:t xml:space="preserve"> выросла на 12,9% к аналогичному периоду 2014</w:t>
      </w:r>
      <w:r w:rsidRPr="0017707B">
        <w:rPr>
          <w:rFonts w:ascii="Times New Roman" w:hAnsi="Times New Roman"/>
          <w:sz w:val="28"/>
          <w:szCs w:val="28"/>
        </w:rPr>
        <w:t xml:space="preserve"> года и  составила </w:t>
      </w:r>
      <w:r w:rsidR="001E192C">
        <w:rPr>
          <w:rFonts w:ascii="Times New Roman" w:hAnsi="Times New Roman"/>
          <w:sz w:val="28"/>
          <w:szCs w:val="28"/>
        </w:rPr>
        <w:t>22 647,7 руб</w:t>
      </w:r>
      <w:r w:rsidRPr="0017707B">
        <w:rPr>
          <w:rFonts w:ascii="Times New Roman" w:hAnsi="Times New Roman"/>
          <w:sz w:val="28"/>
          <w:szCs w:val="28"/>
        </w:rPr>
        <w:t xml:space="preserve">.  </w:t>
      </w:r>
    </w:p>
    <w:p w:rsidR="00081B12" w:rsidRPr="00B2173D" w:rsidRDefault="00081B12" w:rsidP="00081B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Pr="00B2173D">
        <w:rPr>
          <w:rFonts w:ascii="Times New Roman" w:hAnsi="Times New Roman"/>
          <w:sz w:val="28"/>
          <w:szCs w:val="28"/>
        </w:rPr>
        <w:t>В результате реализации комплекса мер по повышению оплаты труда отдельных категорий бюджетников в соответствии с указами Президента Российской Федерации средне</w:t>
      </w:r>
      <w:r w:rsidR="00AA0CDC">
        <w:rPr>
          <w:rFonts w:ascii="Times New Roman" w:hAnsi="Times New Roman"/>
          <w:sz w:val="28"/>
          <w:szCs w:val="28"/>
        </w:rPr>
        <w:t>месячная заработная плата в 2015</w:t>
      </w:r>
      <w:r w:rsidRPr="00B2173D">
        <w:rPr>
          <w:rFonts w:ascii="Times New Roman" w:hAnsi="Times New Roman"/>
          <w:sz w:val="28"/>
          <w:szCs w:val="28"/>
        </w:rPr>
        <w:t xml:space="preserve"> го</w:t>
      </w:r>
      <w:r w:rsidR="00AA0CDC">
        <w:rPr>
          <w:rFonts w:ascii="Times New Roman" w:hAnsi="Times New Roman"/>
          <w:sz w:val="28"/>
          <w:szCs w:val="28"/>
        </w:rPr>
        <w:t xml:space="preserve">ду в образовании выросла на 7,1% к уровню 2014 года (17 109,6 </w:t>
      </w:r>
      <w:r w:rsidRPr="00B2173D">
        <w:rPr>
          <w:rFonts w:ascii="Times New Roman" w:hAnsi="Times New Roman"/>
          <w:sz w:val="28"/>
          <w:szCs w:val="28"/>
        </w:rPr>
        <w:t xml:space="preserve"> руб.), в здравоохранении и предостав</w:t>
      </w:r>
      <w:r w:rsidR="00AA0CDC">
        <w:rPr>
          <w:rFonts w:ascii="Times New Roman" w:hAnsi="Times New Roman"/>
          <w:sz w:val="28"/>
          <w:szCs w:val="28"/>
        </w:rPr>
        <w:t>лении социальных услуг – на 21% (20 191,40</w:t>
      </w:r>
      <w:r w:rsidRPr="00B2173D">
        <w:rPr>
          <w:rFonts w:ascii="Times New Roman" w:hAnsi="Times New Roman"/>
          <w:sz w:val="28"/>
          <w:szCs w:val="28"/>
        </w:rPr>
        <w:t xml:space="preserve"> руб.).</w:t>
      </w:r>
    </w:p>
    <w:p w:rsidR="00081B12" w:rsidRDefault="00081B12" w:rsidP="00081B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Органом, осуществляющим управление в сфере образования на территории Харовского муниципального района, является Управление образования Харовского муниципального района.</w:t>
      </w:r>
    </w:p>
    <w:p w:rsidR="00081B12" w:rsidRPr="001F73B0" w:rsidRDefault="00081B12" w:rsidP="00081B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Юридический адрес Управления образования: 162250, Вологодская область, Харовский район, г.Харовск, пл.Октябрьская, д.3., телефон: 8817 32 5-57-77, адрес электронной почты: </w:t>
      </w:r>
      <w:hyperlink r:id="rId6" w:history="1">
        <w:r w:rsidRPr="000A0D7F">
          <w:rPr>
            <w:rStyle w:val="a5"/>
            <w:rFonts w:ascii="Times New Roman" w:hAnsi="Times New Roman"/>
            <w:sz w:val="28"/>
            <w:szCs w:val="28"/>
            <w:lang w:val="en-US"/>
          </w:rPr>
          <w:t>harovsk</w:t>
        </w:r>
        <w:r w:rsidRPr="001F73B0">
          <w:rPr>
            <w:rStyle w:val="a5"/>
            <w:rFonts w:ascii="Times New Roman" w:hAnsi="Times New Roman"/>
            <w:sz w:val="28"/>
            <w:szCs w:val="28"/>
          </w:rPr>
          <w:t>_</w:t>
        </w:r>
        <w:r w:rsidRPr="000A0D7F">
          <w:rPr>
            <w:rStyle w:val="a5"/>
            <w:rFonts w:ascii="Times New Roman" w:hAnsi="Times New Roman"/>
            <w:sz w:val="28"/>
            <w:szCs w:val="28"/>
            <w:lang w:val="en-US"/>
          </w:rPr>
          <w:t>uo</w:t>
        </w:r>
        <w:r w:rsidRPr="001F73B0">
          <w:rPr>
            <w:rStyle w:val="a5"/>
            <w:rFonts w:ascii="Times New Roman" w:hAnsi="Times New Roman"/>
            <w:sz w:val="28"/>
            <w:szCs w:val="28"/>
          </w:rPr>
          <w:t>@</w:t>
        </w:r>
        <w:r w:rsidRPr="000A0D7F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1F73B0">
          <w:rPr>
            <w:rStyle w:val="a5"/>
            <w:rFonts w:ascii="Times New Roman" w:hAnsi="Times New Roman"/>
            <w:sz w:val="28"/>
            <w:szCs w:val="28"/>
          </w:rPr>
          <w:t>.</w:t>
        </w:r>
        <w:r w:rsidRPr="000A0D7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81B12" w:rsidRPr="00126886" w:rsidRDefault="00081B12" w:rsidP="00081B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F5B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системе образования Харовского муниципального района реализуется муниципальная программа «Развитие образования Харовского муниципального района на 2013 – 2017 годы» (постановление администрации от 08.02.2013 №13 с последующими изменениями). </w:t>
      </w:r>
      <w:r w:rsidRPr="00126886">
        <w:rPr>
          <w:rFonts w:ascii="Times New Roman" w:hAnsi="Times New Roman"/>
          <w:sz w:val="28"/>
          <w:szCs w:val="28"/>
        </w:rPr>
        <w:t>Программа определяет приоритетные направления деятельности муниципальной системы образования, обеспечивающие стабильное функционирование и развитие муниципальной системы образования</w:t>
      </w:r>
      <w:r w:rsidR="00A577FB">
        <w:rPr>
          <w:rFonts w:ascii="Times New Roman" w:hAnsi="Times New Roman"/>
          <w:sz w:val="28"/>
          <w:szCs w:val="28"/>
        </w:rPr>
        <w:t>, включает в себя три</w:t>
      </w:r>
      <w:r>
        <w:rPr>
          <w:rFonts w:ascii="Times New Roman" w:hAnsi="Times New Roman"/>
          <w:sz w:val="28"/>
          <w:szCs w:val="28"/>
        </w:rPr>
        <w:t xml:space="preserve"> подпрограммы: «Развитие общего и дополнительного образования», «Развитие дошкольного образования и поддержка детей, посещающих образовательные учреждения, реализующие основную общеобразовательную  программу дошкольного образования»</w:t>
      </w:r>
      <w:r w:rsidR="00A577FB">
        <w:rPr>
          <w:rFonts w:ascii="Times New Roman" w:hAnsi="Times New Roman"/>
          <w:sz w:val="28"/>
          <w:szCs w:val="28"/>
        </w:rPr>
        <w:t>, «Обеспечение реализации программы «Развитие образования Харовского муниципального района на 2013 – 2017 годы»</w:t>
      </w:r>
      <w:r>
        <w:rPr>
          <w:rFonts w:ascii="Times New Roman" w:hAnsi="Times New Roman"/>
          <w:sz w:val="28"/>
          <w:szCs w:val="28"/>
        </w:rPr>
        <w:t xml:space="preserve">. Программа направлена на обеспечение доступности качественного образования, отвечающего современным потребностям социума и каждого гражданина, требованиям социально-экономического развития региона и района. </w:t>
      </w:r>
    </w:p>
    <w:p w:rsidR="00081B12" w:rsidRPr="00BA5264" w:rsidRDefault="00081B12" w:rsidP="00081B1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A5264">
        <w:rPr>
          <w:rFonts w:ascii="Times New Roman" w:hAnsi="Times New Roman"/>
          <w:sz w:val="28"/>
          <w:szCs w:val="28"/>
        </w:rPr>
        <w:t>еализация</w:t>
      </w:r>
      <w:r>
        <w:rPr>
          <w:rFonts w:ascii="Times New Roman" w:hAnsi="Times New Roman"/>
          <w:sz w:val="28"/>
          <w:szCs w:val="28"/>
        </w:rPr>
        <w:t xml:space="preserve"> приоритетов и целей государственной политики в области образования осуществляется на территории района в соответствии с Планом мероприятий «дорожной картой» «Изменения, направленные на повышение </w:t>
      </w:r>
      <w:r>
        <w:rPr>
          <w:rFonts w:ascii="Times New Roman" w:hAnsi="Times New Roman"/>
          <w:sz w:val="28"/>
          <w:szCs w:val="28"/>
        </w:rPr>
        <w:lastRenderedPageBreak/>
        <w:t>эффективности образования» на 2013 – 2018 годы (постановление администрации от 29.04.2013 №63 с последующими изменениями).</w:t>
      </w:r>
    </w:p>
    <w:p w:rsidR="00081B12" w:rsidRPr="0002211C" w:rsidRDefault="00081B12" w:rsidP="00081B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02211C">
        <w:rPr>
          <w:rFonts w:ascii="Times New Roman" w:hAnsi="Times New Roman"/>
          <w:sz w:val="28"/>
          <w:szCs w:val="28"/>
        </w:rPr>
        <w:t xml:space="preserve">Анализ </w:t>
      </w:r>
      <w:r>
        <w:rPr>
          <w:rFonts w:ascii="Times New Roman" w:hAnsi="Times New Roman"/>
          <w:sz w:val="28"/>
          <w:szCs w:val="28"/>
        </w:rPr>
        <w:t>состояния и перспектив развития системы образования проводится на основании данных федерального статистического наблюдения, мониторинговых исследований, анализа документов образовательных организаций.</w:t>
      </w:r>
    </w:p>
    <w:p w:rsidR="00031078" w:rsidRDefault="00031078" w:rsidP="00031078">
      <w:pPr>
        <w:contextualSpacing/>
        <w:rPr>
          <w:rFonts w:ascii="Times New Roman" w:hAnsi="Times New Roman"/>
          <w:b/>
          <w:sz w:val="28"/>
          <w:szCs w:val="28"/>
        </w:rPr>
      </w:pPr>
      <w:r w:rsidRPr="00A87E00">
        <w:rPr>
          <w:rFonts w:ascii="Times New Roman" w:hAnsi="Times New Roman"/>
          <w:b/>
          <w:sz w:val="28"/>
          <w:szCs w:val="28"/>
        </w:rPr>
        <w:t xml:space="preserve">2. Анализ </w:t>
      </w:r>
      <w:r>
        <w:rPr>
          <w:rFonts w:ascii="Times New Roman" w:hAnsi="Times New Roman"/>
          <w:b/>
          <w:sz w:val="28"/>
          <w:szCs w:val="28"/>
        </w:rPr>
        <w:t>состояния и перспектив развития системы образования Харовского муниципального района</w:t>
      </w:r>
    </w:p>
    <w:p w:rsidR="00031078" w:rsidRDefault="00031078" w:rsidP="0003107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2015 году в соответствии с целью деятельности определены следующие задачи:</w:t>
      </w:r>
    </w:p>
    <w:p w:rsidR="006C398D" w:rsidRDefault="006C398D" w:rsidP="006C398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введения ФГОС основного общего образования;</w:t>
      </w:r>
    </w:p>
    <w:p w:rsidR="006C398D" w:rsidRPr="00121E35" w:rsidRDefault="006C398D" w:rsidP="006C398D">
      <w:pPr>
        <w:pStyle w:val="a7"/>
        <w:tabs>
          <w:tab w:val="left" w:pos="0"/>
          <w:tab w:val="left" w:pos="284"/>
          <w:tab w:val="left" w:pos="993"/>
        </w:tabs>
        <w:spacing w:after="0"/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121E35">
        <w:rPr>
          <w:rFonts w:ascii="Times New Roman" w:hAnsi="Times New Roman"/>
          <w:bCs/>
          <w:sz w:val="28"/>
          <w:szCs w:val="28"/>
        </w:rPr>
        <w:t>- создание условий для внедрения федеральных государственных образовательных стандартов дошкольного образования и реализация  ФГОС ДО;</w:t>
      </w:r>
    </w:p>
    <w:p w:rsidR="006C398D" w:rsidRDefault="006C398D" w:rsidP="006C398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потенциала дополнительного образования;</w:t>
      </w:r>
    </w:p>
    <w:p w:rsidR="006C398D" w:rsidRDefault="006C398D" w:rsidP="006C398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сохранение 100% обеспеченности детей в возрасте от 3 до 7 лет дошкольным образованием;</w:t>
      </w:r>
    </w:p>
    <w:p w:rsidR="006C398D" w:rsidRDefault="006C398D" w:rsidP="006C398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вариативных форм дошкольного образования;</w:t>
      </w:r>
    </w:p>
    <w:p w:rsidR="006C398D" w:rsidRDefault="006C398D" w:rsidP="006C398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мер по привлечению молодых специалистов в систему образования.</w:t>
      </w:r>
    </w:p>
    <w:p w:rsidR="006C398D" w:rsidRPr="00121E35" w:rsidRDefault="006C398D" w:rsidP="006C398D">
      <w:pPr>
        <w:pStyle w:val="a7"/>
        <w:tabs>
          <w:tab w:val="left" w:pos="0"/>
          <w:tab w:val="left" w:pos="284"/>
          <w:tab w:val="left" w:pos="993"/>
        </w:tabs>
        <w:spacing w:after="0"/>
        <w:ind w:left="360"/>
        <w:rPr>
          <w:rFonts w:ascii="Times New Roman" w:hAnsi="Times New Roman"/>
          <w:bCs/>
          <w:sz w:val="28"/>
          <w:szCs w:val="28"/>
        </w:rPr>
      </w:pPr>
      <w:r w:rsidRPr="00121E35">
        <w:rPr>
          <w:rFonts w:ascii="Times New Roman" w:hAnsi="Times New Roman"/>
          <w:sz w:val="28"/>
          <w:szCs w:val="28"/>
        </w:rPr>
        <w:t xml:space="preserve">       -  совершенствование условий для удовлетворения образовательных запросов детей с ограниченными возможностями здоровья и детей-инвалидов, для развития их индивидуальных способностей; </w:t>
      </w:r>
    </w:p>
    <w:p w:rsidR="006C398D" w:rsidRPr="00121E35" w:rsidRDefault="006C398D" w:rsidP="006C398D">
      <w:pPr>
        <w:pStyle w:val="a7"/>
        <w:tabs>
          <w:tab w:val="left" w:pos="0"/>
          <w:tab w:val="left" w:pos="284"/>
          <w:tab w:val="left" w:pos="993"/>
        </w:tabs>
        <w:spacing w:after="0"/>
        <w:ind w:left="360"/>
        <w:rPr>
          <w:rFonts w:ascii="Times New Roman" w:hAnsi="Times New Roman"/>
          <w:bCs/>
          <w:sz w:val="28"/>
          <w:szCs w:val="28"/>
        </w:rPr>
      </w:pPr>
      <w:r w:rsidRPr="00121E35">
        <w:rPr>
          <w:rFonts w:ascii="Times New Roman" w:hAnsi="Times New Roman"/>
          <w:sz w:val="28"/>
          <w:szCs w:val="28"/>
        </w:rPr>
        <w:t xml:space="preserve">       -  совершенствование условий, обеспечивающих выявление, развитие и поддержку одаренных детей;</w:t>
      </w:r>
      <w:r w:rsidRPr="00121E35">
        <w:rPr>
          <w:rFonts w:ascii="Times New Roman" w:hAnsi="Times New Roman"/>
          <w:bCs/>
          <w:sz w:val="28"/>
          <w:szCs w:val="28"/>
        </w:rPr>
        <w:t xml:space="preserve"> </w:t>
      </w:r>
    </w:p>
    <w:p w:rsidR="006C398D" w:rsidRPr="00121E35" w:rsidRDefault="006C398D" w:rsidP="006C398D">
      <w:pPr>
        <w:pStyle w:val="a7"/>
        <w:tabs>
          <w:tab w:val="left" w:pos="0"/>
          <w:tab w:val="left" w:pos="284"/>
          <w:tab w:val="left" w:pos="993"/>
        </w:tabs>
        <w:spacing w:after="0"/>
        <w:ind w:left="360"/>
        <w:rPr>
          <w:rFonts w:ascii="Times New Roman" w:hAnsi="Times New Roman"/>
          <w:bCs/>
          <w:sz w:val="28"/>
          <w:szCs w:val="28"/>
        </w:rPr>
      </w:pPr>
      <w:r w:rsidRPr="00121E35">
        <w:rPr>
          <w:rFonts w:ascii="Times New Roman" w:hAnsi="Times New Roman"/>
          <w:sz w:val="28"/>
          <w:szCs w:val="28"/>
        </w:rPr>
        <w:t xml:space="preserve">       - создание условий для повышения качества образовательных результатов обучающихся.</w:t>
      </w:r>
    </w:p>
    <w:p w:rsidR="00F177F5" w:rsidRDefault="00F177F5" w:rsidP="00F177F5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Дошкольное образование</w:t>
      </w:r>
    </w:p>
    <w:p w:rsidR="00F177F5" w:rsidRDefault="00F177F5" w:rsidP="00F177F5">
      <w:pPr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функционируют 7 дошкольных</w:t>
      </w:r>
      <w:r w:rsidR="005C7194">
        <w:rPr>
          <w:rFonts w:ascii="Times New Roman" w:hAnsi="Times New Roman"/>
          <w:sz w:val="28"/>
          <w:szCs w:val="28"/>
        </w:rPr>
        <w:t xml:space="preserve"> образовательных организаций и 7</w:t>
      </w:r>
      <w:r>
        <w:rPr>
          <w:rFonts w:ascii="Times New Roman" w:hAnsi="Times New Roman"/>
          <w:sz w:val="28"/>
          <w:szCs w:val="28"/>
        </w:rPr>
        <w:t xml:space="preserve"> дошкольных групп при шести общеобразовательных орг</w:t>
      </w:r>
      <w:r w:rsidR="005C7194">
        <w:rPr>
          <w:rFonts w:ascii="Times New Roman" w:hAnsi="Times New Roman"/>
          <w:sz w:val="28"/>
          <w:szCs w:val="28"/>
        </w:rPr>
        <w:t>анизациях, где воспитывается 733</w:t>
      </w:r>
      <w:r>
        <w:rPr>
          <w:rFonts w:ascii="Times New Roman" w:hAnsi="Times New Roman"/>
          <w:sz w:val="28"/>
          <w:szCs w:val="28"/>
        </w:rPr>
        <w:t xml:space="preserve"> детей.</w:t>
      </w:r>
    </w:p>
    <w:p w:rsidR="005C7194" w:rsidRDefault="00F177F5" w:rsidP="005C7194">
      <w:pPr>
        <w:tabs>
          <w:tab w:val="left" w:pos="284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C7194">
        <w:rPr>
          <w:rFonts w:ascii="Times New Roman" w:hAnsi="Times New Roman"/>
          <w:sz w:val="28"/>
          <w:szCs w:val="28"/>
        </w:rPr>
        <w:t>В период с 2011 по 2015</w:t>
      </w:r>
      <w:r>
        <w:rPr>
          <w:rFonts w:ascii="Times New Roman" w:hAnsi="Times New Roman"/>
          <w:sz w:val="28"/>
          <w:szCs w:val="28"/>
        </w:rPr>
        <w:t xml:space="preserve"> год в </w:t>
      </w:r>
      <w:r w:rsidRPr="00E24394">
        <w:rPr>
          <w:rFonts w:ascii="Times New Roman" w:hAnsi="Times New Roman"/>
          <w:sz w:val="28"/>
          <w:szCs w:val="28"/>
        </w:rPr>
        <w:t>детских садах и школах открыто 1</w:t>
      </w:r>
      <w:r w:rsidR="005C7194">
        <w:rPr>
          <w:rFonts w:ascii="Times New Roman" w:hAnsi="Times New Roman"/>
          <w:sz w:val="28"/>
          <w:szCs w:val="28"/>
        </w:rPr>
        <w:t>25</w:t>
      </w:r>
      <w:r w:rsidRPr="00E2439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24394">
        <w:rPr>
          <w:rFonts w:ascii="Times New Roman" w:hAnsi="Times New Roman"/>
          <w:sz w:val="28"/>
          <w:szCs w:val="28"/>
        </w:rPr>
        <w:t>дополнительных мест для дошкольников.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7194" w:rsidRDefault="005C7194" w:rsidP="005C719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 дети в возрасте от 3 до 7 лет обеспечены дошкольным образованием. По программе модернизации системы дошкольного образования в 2015 году из федерального бюджета выделено 300 000 рублей на открытие дополнительной дошкольной группы в МБДОУ «Детский сад №7», 300 000 рублей составило софинансирование из районного бюджета.</w:t>
      </w:r>
    </w:p>
    <w:p w:rsidR="005C7194" w:rsidRDefault="005C7194" w:rsidP="005C719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Благодаря открытию новой группы, в районе решена задача ликвидации актуального спроса на предоставление мест в детские сады для детей в возрасте до 3 лет. </w:t>
      </w:r>
    </w:p>
    <w:p w:rsidR="00F177F5" w:rsidRDefault="005C7194" w:rsidP="005C7194">
      <w:pPr>
        <w:tabs>
          <w:tab w:val="left" w:pos="284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F177F5">
        <w:rPr>
          <w:rFonts w:ascii="Times New Roman" w:hAnsi="Times New Roman"/>
          <w:sz w:val="28"/>
          <w:szCs w:val="28"/>
        </w:rPr>
        <w:t>Приоритетным направлением развития дошкольного образования является внедрение Федерального государственного стандарта дошкольного образования. Одним из ведущих направлений плана – графика по введению ФГОС дошкольного образования является методическое об</w:t>
      </w:r>
      <w:r w:rsidR="00D860D6">
        <w:rPr>
          <w:rFonts w:ascii="Times New Roman" w:hAnsi="Times New Roman"/>
          <w:sz w:val="28"/>
          <w:szCs w:val="28"/>
        </w:rPr>
        <w:t xml:space="preserve">еспечение введения стандарта. 100 </w:t>
      </w:r>
      <w:r w:rsidR="00F177F5">
        <w:rPr>
          <w:rFonts w:ascii="Times New Roman" w:hAnsi="Times New Roman"/>
          <w:sz w:val="28"/>
          <w:szCs w:val="28"/>
        </w:rPr>
        <w:t xml:space="preserve">% педагогических работников прошли обучение на курсах повышения квалификации. Управлением образования обеспечивается методическое сопровождение введения ФГОС, работают творческие группы педагогов, годовой семинар старших воспитателей, в рамках которых проходят экспертную оценку проекты основных образовательных программ, рассмотрены нормативно – правовые, содержательные, методологические аспекты реализации ФГОС дошкольного образования, изучается опыт других районов, идет формирование собственного опыта. </w:t>
      </w:r>
    </w:p>
    <w:p w:rsidR="003B40C5" w:rsidRDefault="003B40C5" w:rsidP="003B40C5">
      <w:pPr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Дошкольное образование создает равные условия для старта в школьную жизнь. Обеспечивая преемственное образование, детские сады города (5 дошкольных образовательных организацийц) реализуют Федеральный государственный образовательный стандарт дошкольного образования.  С 1 января 2016 года все образовательные организации, реализующие программы дошкольного образования,  должны создать условия для перехода в штатном режиме на ФГОС дошкольного образования.</w:t>
      </w:r>
    </w:p>
    <w:p w:rsidR="00F177F5" w:rsidRDefault="003B40C5" w:rsidP="003B40C5">
      <w:pPr>
        <w:tabs>
          <w:tab w:val="left" w:pos="284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2015 году продолжена работа пилотных площадок. </w:t>
      </w:r>
      <w:r w:rsidR="00F177F5">
        <w:rPr>
          <w:rFonts w:ascii="Times New Roman" w:hAnsi="Times New Roman"/>
          <w:sz w:val="28"/>
          <w:szCs w:val="28"/>
        </w:rPr>
        <w:t>МБДОУ «Детский сад общеразвивающего вида №5» является пилотной площадкой Вологодского института развития образования по реализации образовательной программы «Мир открытий», МБДОУ «Детский сад общеразвивающего вида №7» - по использованию в образовательном процессе регионального компонента.</w:t>
      </w:r>
    </w:p>
    <w:p w:rsidR="003B40C5" w:rsidRDefault="00F177F5" w:rsidP="00F177F5">
      <w:pPr>
        <w:tabs>
          <w:tab w:val="left" w:pos="284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МБДОУ «Детский сад общеразвивающего вида №6» является региональной базовой площадкой по введению ФГОС дошкол</w:t>
      </w:r>
      <w:r w:rsidR="003B40C5">
        <w:rPr>
          <w:rFonts w:ascii="Times New Roman" w:hAnsi="Times New Roman"/>
          <w:sz w:val="28"/>
          <w:szCs w:val="28"/>
        </w:rPr>
        <w:t>ьного образования.</w:t>
      </w:r>
    </w:p>
    <w:p w:rsidR="003B40C5" w:rsidRDefault="003B40C5" w:rsidP="003B40C5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заработная плата педагогических работников учреждений дошкольного образова</w:t>
      </w:r>
      <w:r w:rsidR="00687723">
        <w:rPr>
          <w:rFonts w:ascii="Times New Roman" w:hAnsi="Times New Roman"/>
          <w:sz w:val="28"/>
          <w:szCs w:val="28"/>
        </w:rPr>
        <w:t>ния за 2015 год составила 18 902,12</w:t>
      </w:r>
      <w:r>
        <w:rPr>
          <w:rFonts w:ascii="Times New Roman" w:hAnsi="Times New Roman"/>
          <w:sz w:val="28"/>
          <w:szCs w:val="28"/>
        </w:rPr>
        <w:t xml:space="preserve">  рублей, по сравнению с 2014 годом рост заработной платы  обеспечен на</w:t>
      </w:r>
      <w:r w:rsidR="00687723">
        <w:rPr>
          <w:rFonts w:ascii="Times New Roman" w:hAnsi="Times New Roman"/>
          <w:sz w:val="28"/>
          <w:szCs w:val="28"/>
        </w:rPr>
        <w:t xml:space="preserve"> 20,49</w:t>
      </w:r>
      <w:r>
        <w:rPr>
          <w:rFonts w:ascii="Times New Roman" w:hAnsi="Times New Roman"/>
          <w:sz w:val="28"/>
          <w:szCs w:val="28"/>
        </w:rPr>
        <w:t>% (рост к уровню  2011 года  составил  94,28%).</w:t>
      </w:r>
    </w:p>
    <w:p w:rsidR="00F177F5" w:rsidRDefault="00F177F5" w:rsidP="00F177F5">
      <w:pPr>
        <w:tabs>
          <w:tab w:val="left" w:pos="284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Численность воспитанников на 1 педагогического работника в дошкольных образовател</w:t>
      </w:r>
      <w:r w:rsidR="002D44B0">
        <w:rPr>
          <w:rFonts w:ascii="Times New Roman" w:hAnsi="Times New Roman"/>
          <w:sz w:val="28"/>
          <w:szCs w:val="28"/>
        </w:rPr>
        <w:t>ьных организациях составляет – 9,41</w:t>
      </w:r>
      <w:r>
        <w:rPr>
          <w:rFonts w:ascii="Times New Roman" w:hAnsi="Times New Roman"/>
          <w:sz w:val="28"/>
          <w:szCs w:val="28"/>
        </w:rPr>
        <w:t xml:space="preserve"> чел. </w:t>
      </w:r>
    </w:p>
    <w:p w:rsidR="00F177F5" w:rsidRDefault="00F177F5" w:rsidP="00F177F5">
      <w:pPr>
        <w:tabs>
          <w:tab w:val="left" w:pos="284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 целью повышения заработной платы и выполнения майских Указов Президента РФ в системе дошкольного образ</w:t>
      </w:r>
      <w:r w:rsidR="002D44B0">
        <w:rPr>
          <w:rFonts w:ascii="Times New Roman" w:hAnsi="Times New Roman"/>
          <w:sz w:val="28"/>
          <w:szCs w:val="28"/>
        </w:rPr>
        <w:t>ования в 2015 году проведены</w:t>
      </w:r>
      <w:r>
        <w:rPr>
          <w:rFonts w:ascii="Times New Roman" w:hAnsi="Times New Roman"/>
          <w:sz w:val="28"/>
          <w:szCs w:val="28"/>
        </w:rPr>
        <w:t xml:space="preserve"> мероприятия по повышению эффективности бюджетных расходов: оптимизация штатных расписаний образовательных организаций, перевод </w:t>
      </w:r>
      <w:r>
        <w:rPr>
          <w:rFonts w:ascii="Times New Roman" w:hAnsi="Times New Roman"/>
          <w:sz w:val="28"/>
          <w:szCs w:val="28"/>
        </w:rPr>
        <w:lastRenderedPageBreak/>
        <w:t>режима работы дошкольных образовательных организаций с 12 на 10,5 часов.</w:t>
      </w:r>
    </w:p>
    <w:p w:rsidR="00442E03" w:rsidRDefault="00442E03" w:rsidP="00442E03">
      <w:pPr>
        <w:tabs>
          <w:tab w:val="left" w:pos="284"/>
        </w:tabs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Общее образование</w:t>
      </w:r>
    </w:p>
    <w:p w:rsidR="00442E03" w:rsidRDefault="00442E03" w:rsidP="00442E03">
      <w:pPr>
        <w:tabs>
          <w:tab w:val="left" w:pos="284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 районе функционируют 9</w:t>
      </w:r>
      <w:r w:rsidRPr="00C45A5C">
        <w:rPr>
          <w:rFonts w:ascii="Times New Roman" w:hAnsi="Times New Roman"/>
          <w:sz w:val="28"/>
          <w:szCs w:val="28"/>
        </w:rPr>
        <w:t xml:space="preserve"> общеобразовательных школ, из них 2  сре</w:t>
      </w:r>
      <w:r>
        <w:rPr>
          <w:rFonts w:ascii="Times New Roman" w:hAnsi="Times New Roman"/>
          <w:sz w:val="28"/>
          <w:szCs w:val="28"/>
        </w:rPr>
        <w:t>дние, 5  основных,  1  начальная школа</w:t>
      </w:r>
      <w:r w:rsidRPr="00C45A5C">
        <w:rPr>
          <w:rFonts w:ascii="Times New Roman" w:hAnsi="Times New Roman"/>
          <w:sz w:val="28"/>
          <w:szCs w:val="28"/>
        </w:rPr>
        <w:t xml:space="preserve"> – детский сад, 1 специальная (коррекционная) школа – интернат 8 вида.</w:t>
      </w:r>
    </w:p>
    <w:p w:rsidR="00442E03" w:rsidRDefault="008F5D58" w:rsidP="000B1363">
      <w:pPr>
        <w:tabs>
          <w:tab w:val="left" w:pos="284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2224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В 2015 году проведены следующие мероприятия по развитию сети образовательных организаций.</w:t>
      </w:r>
    </w:p>
    <w:p w:rsidR="00BC7D66" w:rsidRDefault="008F5D58" w:rsidP="000B1363">
      <w:pPr>
        <w:pStyle w:val="ConsPlusCell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1363">
        <w:rPr>
          <w:sz w:val="28"/>
          <w:szCs w:val="28"/>
        </w:rPr>
        <w:t xml:space="preserve">Реорганизация </w:t>
      </w:r>
      <w:r w:rsidR="00945ABA">
        <w:rPr>
          <w:sz w:val="28"/>
          <w:szCs w:val="28"/>
        </w:rPr>
        <w:t xml:space="preserve"> </w:t>
      </w:r>
      <w:r w:rsidR="000B1363">
        <w:rPr>
          <w:sz w:val="28"/>
          <w:szCs w:val="28"/>
        </w:rPr>
        <w:t xml:space="preserve">МБОУ «Ильинская основная общеобразовательная школа» путем присоединения к нему к МБОУ «Катромская основная общеобразовательная школа» - для </w:t>
      </w:r>
      <w:r w:rsidR="00BC7D66">
        <w:rPr>
          <w:sz w:val="28"/>
          <w:szCs w:val="28"/>
        </w:rPr>
        <w:t xml:space="preserve">9 обучающихся организован </w:t>
      </w:r>
      <w:r w:rsidR="00706D9B">
        <w:rPr>
          <w:sz w:val="28"/>
          <w:szCs w:val="28"/>
        </w:rPr>
        <w:t xml:space="preserve">ежедневный </w:t>
      </w:r>
      <w:r w:rsidR="00BC7D66">
        <w:rPr>
          <w:sz w:val="28"/>
          <w:szCs w:val="28"/>
        </w:rPr>
        <w:t>подвоз школьным автобусом.</w:t>
      </w:r>
    </w:p>
    <w:p w:rsidR="00706D9B" w:rsidRDefault="00BC7D66" w:rsidP="00706D9B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6D9B" w:rsidRPr="00706D9B">
        <w:rPr>
          <w:sz w:val="28"/>
          <w:szCs w:val="28"/>
        </w:rPr>
        <w:t xml:space="preserve"> </w:t>
      </w:r>
      <w:r w:rsidR="00706D9B">
        <w:rPr>
          <w:sz w:val="28"/>
          <w:szCs w:val="28"/>
        </w:rPr>
        <w:t>Ликвидация структурного подразделения МБОУ «Ильинская основная общеобразовательная школа» в с. Михайловское – для 1 обучающегося организован подвоз и проживание в пришкольном интернате.</w:t>
      </w:r>
    </w:p>
    <w:p w:rsidR="00CB19CD" w:rsidRDefault="00CB19CD" w:rsidP="00CB19C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Контингент обучающихся 9 общеобразовательных школ составляет 1444 человека. </w:t>
      </w:r>
      <w:r w:rsidRPr="001D5CA0">
        <w:rPr>
          <w:sz w:val="28"/>
          <w:szCs w:val="28"/>
        </w:rPr>
        <w:t xml:space="preserve">Наблюдаемая сегодня тенденция снижения контингента школьников в сельской местности (82,9% детей обучается в городских школах, 17,1% - в сельских), сохранится в последующие годы. </w:t>
      </w:r>
    </w:p>
    <w:p w:rsidR="00CB19CD" w:rsidRPr="001D5CA0" w:rsidRDefault="00EB011C" w:rsidP="00CB19CD">
      <w:pPr>
        <w:pStyle w:val="ConsPlusNormal"/>
        <w:jc w:val="both"/>
        <w:rPr>
          <w:sz w:val="28"/>
          <w:szCs w:val="28"/>
        </w:rPr>
      </w:pPr>
      <w:r w:rsidRPr="00EB011C">
        <w:rPr>
          <w:noProof/>
          <w:sz w:val="28"/>
          <w:szCs w:val="28"/>
        </w:rPr>
        <w:drawing>
          <wp:inline distT="0" distB="0" distL="0" distR="0">
            <wp:extent cx="5940425" cy="3314823"/>
            <wp:effectExtent l="0" t="0" r="3175" b="0"/>
            <wp:docPr id="7" name="Рисунок 1" descr="C:\Documents and Settings\Admin\Рабочий стол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Рисунок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E03" w:rsidRDefault="00442E03" w:rsidP="00442E03">
      <w:pPr>
        <w:tabs>
          <w:tab w:val="left" w:pos="284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 2014 году для 8 общеобразовательных школ орга</w:t>
      </w:r>
      <w:r w:rsidR="00B93CEF">
        <w:rPr>
          <w:rFonts w:ascii="Times New Roman" w:hAnsi="Times New Roman"/>
          <w:sz w:val="28"/>
          <w:szCs w:val="28"/>
        </w:rPr>
        <w:t>низуется подвоз школьников по 19</w:t>
      </w:r>
      <w:r>
        <w:rPr>
          <w:rFonts w:ascii="Times New Roman" w:hAnsi="Times New Roman"/>
          <w:sz w:val="28"/>
          <w:szCs w:val="28"/>
        </w:rPr>
        <w:t xml:space="preserve"> мар</w:t>
      </w:r>
      <w:r w:rsidR="00B93CEF">
        <w:rPr>
          <w:rFonts w:ascii="Times New Roman" w:hAnsi="Times New Roman"/>
          <w:sz w:val="28"/>
          <w:szCs w:val="28"/>
        </w:rPr>
        <w:t>шрутам</w:t>
      </w:r>
      <w:r w:rsidR="001E7D89">
        <w:rPr>
          <w:rFonts w:ascii="Times New Roman" w:hAnsi="Times New Roman"/>
          <w:sz w:val="28"/>
          <w:szCs w:val="28"/>
        </w:rPr>
        <w:t xml:space="preserve"> внутри района. Всего 143</w:t>
      </w:r>
      <w:r>
        <w:rPr>
          <w:rFonts w:ascii="Times New Roman" w:hAnsi="Times New Roman"/>
          <w:sz w:val="28"/>
          <w:szCs w:val="28"/>
        </w:rPr>
        <w:t xml:space="preserve"> школьников п</w:t>
      </w:r>
      <w:r w:rsidR="001E7D89">
        <w:rPr>
          <w:rFonts w:ascii="Times New Roman" w:hAnsi="Times New Roman"/>
          <w:sz w:val="28"/>
          <w:szCs w:val="28"/>
        </w:rPr>
        <w:t>одвозится на занятия, из них 103 – ежедневно, 40</w:t>
      </w:r>
      <w:r>
        <w:rPr>
          <w:rFonts w:ascii="Times New Roman" w:hAnsi="Times New Roman"/>
          <w:sz w:val="28"/>
          <w:szCs w:val="28"/>
        </w:rPr>
        <w:t xml:space="preserve"> – еженедельно.  В четырех общеобразовательных школах функционируют пришкольные и</w:t>
      </w:r>
      <w:r w:rsidR="001E7D89">
        <w:rPr>
          <w:rFonts w:ascii="Times New Roman" w:hAnsi="Times New Roman"/>
          <w:sz w:val="28"/>
          <w:szCs w:val="28"/>
        </w:rPr>
        <w:t>нтернаты, в которых проживают 56</w:t>
      </w:r>
      <w:r>
        <w:rPr>
          <w:rFonts w:ascii="Times New Roman" w:hAnsi="Times New Roman"/>
          <w:sz w:val="28"/>
          <w:szCs w:val="28"/>
        </w:rPr>
        <w:t xml:space="preserve"> детей.</w:t>
      </w:r>
    </w:p>
    <w:p w:rsidR="00442E03" w:rsidRDefault="001E7D89" w:rsidP="00442E03">
      <w:pPr>
        <w:tabs>
          <w:tab w:val="left" w:pos="284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 итогам  2015</w:t>
      </w:r>
      <w:r w:rsidR="00442E03">
        <w:rPr>
          <w:rFonts w:ascii="Times New Roman" w:hAnsi="Times New Roman"/>
          <w:sz w:val="28"/>
          <w:szCs w:val="28"/>
        </w:rPr>
        <w:t xml:space="preserve"> года достигнуты следующие результаты:</w:t>
      </w:r>
    </w:p>
    <w:p w:rsidR="00442E03" w:rsidRDefault="00442E03" w:rsidP="00442E03">
      <w:pPr>
        <w:tabs>
          <w:tab w:val="left" w:pos="284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Все выпускники 2014 года получили положительные результаты</w:t>
      </w:r>
      <w:r w:rsidR="00963B61">
        <w:rPr>
          <w:rFonts w:ascii="Times New Roman" w:hAnsi="Times New Roman"/>
          <w:sz w:val="28"/>
          <w:szCs w:val="28"/>
        </w:rPr>
        <w:t xml:space="preserve"> ЕГЭ по обязательным предметам (1,2% выпускников Вологодской области аттестат о среднем общем образовании не получили).</w:t>
      </w:r>
      <w:r w:rsidR="00963B6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963B61" w:rsidRDefault="00442E03" w:rsidP="00963B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63B61">
        <w:rPr>
          <w:rFonts w:ascii="Times New Roman" w:hAnsi="Times New Roman"/>
          <w:sz w:val="28"/>
          <w:szCs w:val="28"/>
        </w:rPr>
        <w:t xml:space="preserve">Средний тестовый балл ЕГЭ по математике профильного уровня, обществознанию, истории, химии, русскому языку, информатике и ИКТ, биологии, физике, литературе выше среднеобластного. </w:t>
      </w:r>
    </w:p>
    <w:p w:rsidR="009B463A" w:rsidRDefault="00442E03" w:rsidP="009B46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B463A">
        <w:rPr>
          <w:rFonts w:ascii="Times New Roman" w:hAnsi="Times New Roman"/>
          <w:sz w:val="28"/>
          <w:szCs w:val="28"/>
        </w:rPr>
        <w:t>11 выпускников получили на ЕГЭ 90 и более баллов, что составляет 19,3% от выпуска (в 2013 году – 5 человек, 5,3% от выпуска, в 2014 году – 7 человек,10,4% от выпуска).</w:t>
      </w:r>
    </w:p>
    <w:p w:rsidR="009B463A" w:rsidRPr="00517BCE" w:rsidRDefault="00442E03" w:rsidP="009B46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B463A" w:rsidRPr="00517BCE">
        <w:rPr>
          <w:rFonts w:ascii="Times New Roman" w:hAnsi="Times New Roman"/>
          <w:sz w:val="28"/>
          <w:szCs w:val="28"/>
        </w:rPr>
        <w:t xml:space="preserve">Шесть выпускников окончили школу с медалью «За особые успехи в учении», доля медалистов от общего количества выпускников составляет </w:t>
      </w:r>
      <w:r w:rsidR="009B463A">
        <w:rPr>
          <w:rFonts w:ascii="Times New Roman" w:hAnsi="Times New Roman"/>
          <w:sz w:val="28"/>
          <w:szCs w:val="28"/>
        </w:rPr>
        <w:t>10,5%</w:t>
      </w:r>
      <w:r w:rsidR="009B463A" w:rsidRPr="00517BCE">
        <w:rPr>
          <w:rFonts w:ascii="Times New Roman" w:hAnsi="Times New Roman"/>
          <w:sz w:val="28"/>
          <w:szCs w:val="28"/>
        </w:rPr>
        <w:t xml:space="preserve"> (в 2013 году – 8,7%</w:t>
      </w:r>
      <w:r w:rsidR="009B463A">
        <w:rPr>
          <w:rFonts w:ascii="Times New Roman" w:hAnsi="Times New Roman"/>
          <w:sz w:val="28"/>
          <w:szCs w:val="28"/>
        </w:rPr>
        <w:t>, в 2014 году – 8,9%</w:t>
      </w:r>
      <w:r w:rsidR="009B463A" w:rsidRPr="00517BCE">
        <w:rPr>
          <w:rFonts w:ascii="Times New Roman" w:hAnsi="Times New Roman"/>
          <w:sz w:val="28"/>
          <w:szCs w:val="28"/>
        </w:rPr>
        <w:t>).</w:t>
      </w:r>
    </w:p>
    <w:p w:rsidR="009B463A" w:rsidRDefault="00442E03" w:rsidP="009B46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B463A">
        <w:rPr>
          <w:rFonts w:ascii="Times New Roman" w:hAnsi="Times New Roman"/>
          <w:sz w:val="28"/>
          <w:szCs w:val="28"/>
        </w:rPr>
        <w:t>В 2015 году  школьники района стали победителями  регионального этапа Всероссийской олимпиады по экологии и призерами по биологии, праву и обществознанию.</w:t>
      </w:r>
    </w:p>
    <w:p w:rsidR="009B463A" w:rsidRDefault="00442E03" w:rsidP="009B46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9B463A" w:rsidRPr="009B463A">
        <w:rPr>
          <w:rFonts w:ascii="Times New Roman" w:hAnsi="Times New Roman"/>
          <w:sz w:val="28"/>
          <w:szCs w:val="28"/>
        </w:rPr>
        <w:t xml:space="preserve"> </w:t>
      </w:r>
      <w:r w:rsidR="009B463A">
        <w:rPr>
          <w:rFonts w:ascii="Times New Roman" w:hAnsi="Times New Roman"/>
          <w:sz w:val="28"/>
          <w:szCs w:val="28"/>
        </w:rPr>
        <w:t>МБОУ «Харовская СОШ имени В.Прокатова» вошла в рейтинг ТОП - 30 лучших общеобразовательных организаций Вологодсклой области в 2015 году.</w:t>
      </w:r>
    </w:p>
    <w:p w:rsidR="009B463A" w:rsidRDefault="00442E03" w:rsidP="009B46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 </w:t>
      </w:r>
      <w:r w:rsidR="009B463A">
        <w:rPr>
          <w:rFonts w:ascii="Times New Roman" w:hAnsi="Times New Roman"/>
          <w:sz w:val="28"/>
          <w:szCs w:val="28"/>
        </w:rPr>
        <w:t>МБОУ «Харовская СОШ №2» вошла в рейтинг ТОП – 30 лучших городских школ области по итогам акции «Электронный дневник – это просто!».</w:t>
      </w:r>
    </w:p>
    <w:p w:rsidR="00442E03" w:rsidRDefault="00442E03" w:rsidP="00442E03">
      <w:pPr>
        <w:tabs>
          <w:tab w:val="left" w:pos="284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Достижению доступности качественного образования способствовала реализация следующих направлений деятельности:</w:t>
      </w:r>
    </w:p>
    <w:p w:rsidR="009B463A" w:rsidRDefault="009B463A" w:rsidP="009B463A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42E0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Модернизация содержания образования и образовательной среды в соответствии с Федеральными государственными стандартами. </w:t>
      </w:r>
      <w:r w:rsidRPr="0090665F">
        <w:rPr>
          <w:rFonts w:ascii="Times New Roman" w:hAnsi="Times New Roman"/>
          <w:sz w:val="28"/>
          <w:szCs w:val="28"/>
        </w:rPr>
        <w:t xml:space="preserve">Начальная школа полностью перешла на новые стандарты, с 1 сентября </w:t>
      </w:r>
      <w:r>
        <w:rPr>
          <w:rFonts w:ascii="Times New Roman" w:hAnsi="Times New Roman"/>
          <w:sz w:val="28"/>
          <w:szCs w:val="28"/>
        </w:rPr>
        <w:t>2015 года приступили</w:t>
      </w:r>
      <w:r w:rsidRPr="0090665F">
        <w:rPr>
          <w:rFonts w:ascii="Times New Roman" w:hAnsi="Times New Roman"/>
          <w:sz w:val="28"/>
          <w:szCs w:val="28"/>
        </w:rPr>
        <w:t xml:space="preserve"> к обучению по новым стандартам все пятиклассники. </w:t>
      </w:r>
    </w:p>
    <w:p w:rsidR="009B463A" w:rsidRDefault="009B463A" w:rsidP="00CD340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третьей ступени обучения в МБОУ «Харовская СОШ имени В.Прокатова» реализуются программы профильного обучения: социально – экономического и информационно – технологического профиля. </w:t>
      </w:r>
    </w:p>
    <w:p w:rsidR="00442E03" w:rsidRDefault="00442E03" w:rsidP="00442E03">
      <w:pPr>
        <w:tabs>
          <w:tab w:val="left" w:pos="284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2. Обеспечено 100% повышение квалификации педагогических кадров в соответствии с ФГОС. </w:t>
      </w:r>
    </w:p>
    <w:p w:rsidR="006D56DC" w:rsidRPr="00517BCE" w:rsidRDefault="006D56DC" w:rsidP="006D56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42E03">
        <w:rPr>
          <w:rFonts w:ascii="Times New Roman" w:hAnsi="Times New Roman"/>
          <w:sz w:val="28"/>
          <w:szCs w:val="28"/>
        </w:rPr>
        <w:t xml:space="preserve">3. </w:t>
      </w:r>
      <w:r w:rsidRPr="00517BCE">
        <w:rPr>
          <w:rFonts w:ascii="Times New Roman" w:hAnsi="Times New Roman"/>
          <w:sz w:val="28"/>
          <w:szCs w:val="28"/>
        </w:rPr>
        <w:t>Зкуплено    2070    экземпляров учебников на сумму  643 532 рубля.</w:t>
      </w:r>
    </w:p>
    <w:p w:rsidR="00442E03" w:rsidRDefault="00442E03" w:rsidP="00442E03">
      <w:pPr>
        <w:tabs>
          <w:tab w:val="left" w:pos="284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4. В ресурсном центре базовой школы (МБОУ «Харовская СОШ имени В.Прокатова») продо</w:t>
      </w:r>
      <w:r w:rsidR="00C257AE">
        <w:rPr>
          <w:rFonts w:ascii="Times New Roman" w:hAnsi="Times New Roman"/>
          <w:sz w:val="28"/>
          <w:szCs w:val="28"/>
        </w:rPr>
        <w:t xml:space="preserve">лжается дистанционное обучение 1ребенка из категории </w:t>
      </w:r>
      <w:r>
        <w:rPr>
          <w:rFonts w:ascii="Times New Roman" w:hAnsi="Times New Roman"/>
          <w:sz w:val="28"/>
          <w:szCs w:val="28"/>
        </w:rPr>
        <w:t xml:space="preserve"> детей-инвалидов, реализуется проект дистанционного обучения школьников малокомплектных школ.</w:t>
      </w:r>
    </w:p>
    <w:p w:rsidR="00C257AE" w:rsidRDefault="00442E03" w:rsidP="00C257AE">
      <w:pPr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 w:rsidR="00C257AE">
        <w:rPr>
          <w:rFonts w:ascii="Times New Roman" w:hAnsi="Times New Roman"/>
          <w:sz w:val="28"/>
          <w:szCs w:val="28"/>
        </w:rPr>
        <w:t>На проведение ремонтных работ в  образовательных организациях из районного бюджета выделено  1 541 363 рубля: проведены работы по обеспечению комплексной безопасности, частичной замене оконных блоков, ремонту кровель, приобретено оборудование для пищеблоков, текущие ремонты.</w:t>
      </w:r>
    </w:p>
    <w:p w:rsidR="00C257AE" w:rsidRDefault="00C257AE" w:rsidP="00442E0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Охвачено горячим питанием 99,4</w:t>
      </w:r>
      <w:r w:rsidR="00442E03">
        <w:rPr>
          <w:rFonts w:ascii="Times New Roman" w:hAnsi="Times New Roman"/>
          <w:sz w:val="28"/>
          <w:szCs w:val="28"/>
        </w:rPr>
        <w:t xml:space="preserve">% школьников. </w:t>
      </w:r>
    </w:p>
    <w:p w:rsidR="00B910A1" w:rsidRPr="004B2C1A" w:rsidRDefault="00442E03" w:rsidP="00B910A1">
      <w:pPr>
        <w:pStyle w:val="1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4B2C1A">
        <w:rPr>
          <w:rFonts w:ascii="Times New Roman" w:hAnsi="Times New Roman"/>
          <w:sz w:val="28"/>
          <w:szCs w:val="28"/>
        </w:rPr>
        <w:t>Вместе с тем в районе остается нере</w:t>
      </w:r>
      <w:r w:rsidR="003364FB" w:rsidRPr="004B2C1A">
        <w:rPr>
          <w:rFonts w:ascii="Times New Roman" w:hAnsi="Times New Roman"/>
          <w:sz w:val="28"/>
          <w:szCs w:val="28"/>
        </w:rPr>
        <w:t xml:space="preserve">шенной проблема второй смены: 17,2% школьников (249 </w:t>
      </w:r>
      <w:r w:rsidRPr="004B2C1A">
        <w:rPr>
          <w:rFonts w:ascii="Times New Roman" w:hAnsi="Times New Roman"/>
          <w:sz w:val="28"/>
          <w:szCs w:val="28"/>
        </w:rPr>
        <w:t xml:space="preserve"> обучающихся базовой школы) учатся во вторую смену, в связи с тем,  что в здании начальных классов не завершен капитальный ремонт. </w:t>
      </w:r>
      <w:r w:rsidR="00B910A1" w:rsidRPr="004B2C1A">
        <w:rPr>
          <w:rFonts w:ascii="Times New Roman" w:hAnsi="Times New Roman"/>
          <w:sz w:val="28"/>
          <w:szCs w:val="28"/>
        </w:rPr>
        <w:t>В 2015 году за счет средств местного бюджета в размере 1 500,0 тыс. рублей осуществлены ремонтные работы помещений 1 этажа здания – отбивка штукатурки в рекреации, устройство подвесных потолков в рекреации и  кабинете №7 с заменой электропроводки и освещения, шпатлевка и покраска стен рекреации, ремонт стен и потолков спортивного зала, установка 2 входных дверей, замена 4-х оконных блоков, замена пола в 2-х цехах пищеблока, замена кровли и потолков в туалете, замена смесителей и  ванны в пищеблоке, установка водонагревателя и  подводка горячей воды к раковинам умывальной комнаты. Завершение работ планируется в 2016 году.</w:t>
      </w:r>
    </w:p>
    <w:p w:rsidR="005A38FA" w:rsidRDefault="005A38FA" w:rsidP="005A38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заработная плата педагогических работников общеобразовательных шк</w:t>
      </w:r>
      <w:r w:rsidR="004C724F">
        <w:rPr>
          <w:rFonts w:ascii="Times New Roman" w:hAnsi="Times New Roman"/>
          <w:sz w:val="28"/>
          <w:szCs w:val="28"/>
        </w:rPr>
        <w:t>ол в 2015 году составила  25 057,25</w:t>
      </w:r>
      <w:r>
        <w:rPr>
          <w:rFonts w:ascii="Times New Roman" w:hAnsi="Times New Roman"/>
          <w:sz w:val="28"/>
          <w:szCs w:val="28"/>
        </w:rPr>
        <w:t xml:space="preserve">  рублей, роста к 2014 году не обеспечено (в 2014 году – 25 159 рублей, рост  к уровню 2011 года составил 103,33%).</w:t>
      </w:r>
    </w:p>
    <w:p w:rsidR="00442E03" w:rsidRDefault="00442E03" w:rsidP="00442E03">
      <w:pPr>
        <w:tabs>
          <w:tab w:val="left" w:pos="284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Численность обучающихся  на 1 педагогического работника в  общеобразовательн</w:t>
      </w:r>
      <w:r w:rsidR="004B2C1A">
        <w:rPr>
          <w:rFonts w:ascii="Times New Roman" w:hAnsi="Times New Roman"/>
          <w:sz w:val="28"/>
          <w:szCs w:val="28"/>
        </w:rPr>
        <w:t>ых организациях составляет – 9,36</w:t>
      </w:r>
      <w:r>
        <w:rPr>
          <w:rFonts w:ascii="Times New Roman" w:hAnsi="Times New Roman"/>
          <w:sz w:val="28"/>
          <w:szCs w:val="28"/>
        </w:rPr>
        <w:t xml:space="preserve"> чел. </w:t>
      </w:r>
    </w:p>
    <w:p w:rsidR="009A33BD" w:rsidRDefault="004B2C1A" w:rsidP="009A33BD">
      <w:pPr>
        <w:tabs>
          <w:tab w:val="left" w:pos="284"/>
        </w:tabs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A33BD">
        <w:rPr>
          <w:rFonts w:ascii="Times New Roman" w:hAnsi="Times New Roman"/>
          <w:b/>
          <w:sz w:val="28"/>
          <w:szCs w:val="28"/>
        </w:rPr>
        <w:t>2.3. Дополнительное образование</w:t>
      </w:r>
    </w:p>
    <w:p w:rsidR="009A33BD" w:rsidRDefault="009A33BD" w:rsidP="009A33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районе функционируют 1 учреждение дополнительного образования, где занимается 1010 детей.  </w:t>
      </w:r>
    </w:p>
    <w:p w:rsidR="005C79CD" w:rsidRDefault="009A33BD" w:rsidP="005C79CD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2015 году</w:t>
      </w:r>
      <w:r w:rsidR="005C79CD">
        <w:rPr>
          <w:sz w:val="28"/>
          <w:szCs w:val="28"/>
        </w:rPr>
        <w:t xml:space="preserve">  проведена реорганизация МБОУ ДОД «Центр внешкольной работы» путем присоединения к нему МБОУ ДОД «Харовская детско-юношеская спортивная школа».</w:t>
      </w:r>
    </w:p>
    <w:p w:rsidR="000B4AD2" w:rsidRDefault="000B4AD2" w:rsidP="000B4AD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2015 году МБОУ «Харовская СОШ №2», МБОУ «Харовская специальная (коррекционная) общеобразовательная школа – интернат», МБОУ «Детский сад №5» получили лицензию на осуществление образовательной деятельности по дополнительным общеобразовательным программам. Охват детей дополнительным образованием увеличен до 70% (2012 год – 54,3%, 2013 год – 55,7%, 2014 год – 69%).</w:t>
      </w:r>
    </w:p>
    <w:p w:rsidR="009A33BD" w:rsidRDefault="009A33BD" w:rsidP="009A33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Согласно «дорожной карте» мы  должны обеспечить увеличение охвата детей программами д</w:t>
      </w:r>
      <w:r w:rsidR="000B4AD2">
        <w:rPr>
          <w:rFonts w:ascii="Times New Roman" w:hAnsi="Times New Roman"/>
          <w:sz w:val="28"/>
          <w:szCs w:val="28"/>
        </w:rPr>
        <w:t>ополнительного образования до 75%. С этой целью в 2016</w:t>
      </w:r>
      <w:r>
        <w:rPr>
          <w:rFonts w:ascii="Times New Roman" w:hAnsi="Times New Roman"/>
          <w:sz w:val="28"/>
          <w:szCs w:val="28"/>
        </w:rPr>
        <w:t xml:space="preserve"> году поставлена задача получения лицензии на реализацию дополнительных образовательных программ </w:t>
      </w:r>
      <w:r w:rsidR="000B4AD2">
        <w:rPr>
          <w:rFonts w:ascii="Times New Roman" w:hAnsi="Times New Roman"/>
          <w:sz w:val="28"/>
          <w:szCs w:val="28"/>
        </w:rPr>
        <w:t xml:space="preserve">всем дошкольным образовательным организациям. </w:t>
      </w:r>
      <w:r>
        <w:rPr>
          <w:rFonts w:ascii="Times New Roman" w:hAnsi="Times New Roman"/>
          <w:sz w:val="28"/>
          <w:szCs w:val="28"/>
        </w:rPr>
        <w:t>Мероприятия «дорожной карты» нацелены на увеличение доли детей, посещающих программы технической направленности, занимающихся спортом, участвующих в мероприятиях патриотической направленности.</w:t>
      </w:r>
      <w:r>
        <w:rPr>
          <w:rFonts w:ascii="Times New Roman" w:hAnsi="Times New Roman"/>
          <w:sz w:val="28"/>
          <w:szCs w:val="28"/>
        </w:rPr>
        <w:tab/>
      </w:r>
    </w:p>
    <w:p w:rsidR="00E042E3" w:rsidRDefault="00E042E3" w:rsidP="00E042E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2015 воспитанники учреждений дополнительного образования стали победителями и призерами областных и российских соревнований и конкурсов, наиболее значимые из них:</w:t>
      </w:r>
    </w:p>
    <w:p w:rsidR="00E042E3" w:rsidRDefault="00E042E3" w:rsidP="00E042E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соревнования областной годовой спартакиады движения «Школа безопасности»;</w:t>
      </w:r>
    </w:p>
    <w:p w:rsidR="00E042E3" w:rsidRDefault="00E042E3" w:rsidP="00E042E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межрегиональный детский экологический лагерь «Радуга» г.Пермь;</w:t>
      </w:r>
    </w:p>
    <w:p w:rsidR="00E042E3" w:rsidRDefault="00E042E3" w:rsidP="00E042E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межрегиональный этап конкурса «Права человека в современном мире» областной акции «Я гражданин Российской Федерации»;</w:t>
      </w:r>
    </w:p>
    <w:p w:rsidR="00E042E3" w:rsidRDefault="00E042E3" w:rsidP="00E042E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областная спартакиада школьников</w:t>
      </w:r>
    </w:p>
    <w:p w:rsidR="00E042E3" w:rsidRDefault="00E042E3" w:rsidP="00E042E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областные финальные соревнования по лыжным гонкам на приз В.Н.Прокатова;</w:t>
      </w:r>
    </w:p>
    <w:p w:rsidR="00E042E3" w:rsidRDefault="00E042E3" w:rsidP="00E042E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областной конкурс «Лидер»;</w:t>
      </w:r>
    </w:p>
    <w:p w:rsidR="00E042E3" w:rsidRDefault="00E042E3" w:rsidP="00E042E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областная конференция «Первые шаги в науку».</w:t>
      </w:r>
    </w:p>
    <w:p w:rsidR="00CA70DF" w:rsidRDefault="00CA70DF" w:rsidP="00CA70D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летней оздоровительной кампании для детей с повышенной мотивацией организованы экологические, краеведческие, этнографические  экспедиции, слет туристов. </w:t>
      </w:r>
    </w:p>
    <w:p w:rsidR="00CA70DF" w:rsidRDefault="00CA70DF" w:rsidP="00CA70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100 000 рублей выделено из районного бюджета на приобретение спортивного инвентаря.</w:t>
      </w:r>
    </w:p>
    <w:p w:rsidR="00CA70DF" w:rsidRDefault="00CA70DF" w:rsidP="00CA70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Средняя заработная плата педагогов дополнительного образова</w:t>
      </w:r>
      <w:r w:rsidR="004C724F">
        <w:rPr>
          <w:rFonts w:ascii="Times New Roman" w:hAnsi="Times New Roman"/>
          <w:sz w:val="28"/>
          <w:szCs w:val="28"/>
        </w:rPr>
        <w:t>ния</w:t>
      </w:r>
      <w:r w:rsidR="00E66519">
        <w:rPr>
          <w:rFonts w:ascii="Times New Roman" w:hAnsi="Times New Roman"/>
          <w:sz w:val="28"/>
          <w:szCs w:val="28"/>
        </w:rPr>
        <w:t xml:space="preserve"> (с учетом учреждений культуры) </w:t>
      </w:r>
      <w:r w:rsidR="004C724F">
        <w:rPr>
          <w:rFonts w:ascii="Times New Roman" w:hAnsi="Times New Roman"/>
          <w:sz w:val="28"/>
          <w:szCs w:val="28"/>
        </w:rPr>
        <w:t xml:space="preserve"> за 2015 год составила 22 904,20</w:t>
      </w:r>
      <w:r>
        <w:rPr>
          <w:rFonts w:ascii="Times New Roman" w:hAnsi="Times New Roman"/>
          <w:sz w:val="28"/>
          <w:szCs w:val="28"/>
        </w:rPr>
        <w:t xml:space="preserve">  рублей, рост к</w:t>
      </w:r>
      <w:r w:rsidR="004C724F">
        <w:rPr>
          <w:rFonts w:ascii="Times New Roman" w:hAnsi="Times New Roman"/>
          <w:sz w:val="28"/>
          <w:szCs w:val="28"/>
        </w:rPr>
        <w:t xml:space="preserve"> уровню 2014 года составил 14,7</w:t>
      </w:r>
      <w:r>
        <w:rPr>
          <w:rFonts w:ascii="Times New Roman" w:hAnsi="Times New Roman"/>
          <w:sz w:val="28"/>
          <w:szCs w:val="28"/>
        </w:rPr>
        <w:t>% (рост к уровню 2011 года составил 121,67%).</w:t>
      </w:r>
      <w:r w:rsidR="000A05E3">
        <w:rPr>
          <w:rFonts w:ascii="Times New Roman" w:hAnsi="Times New Roman"/>
          <w:sz w:val="28"/>
          <w:szCs w:val="28"/>
        </w:rPr>
        <w:t xml:space="preserve"> </w:t>
      </w:r>
    </w:p>
    <w:p w:rsidR="00D92F56" w:rsidRPr="00020918" w:rsidRDefault="00D92F56" w:rsidP="00D92F56">
      <w:pPr>
        <w:spacing w:after="0" w:line="240" w:lineRule="auto"/>
        <w:ind w:firstLine="708"/>
        <w:contextualSpacing/>
        <w:rPr>
          <w:rFonts w:ascii="Times New Roman" w:hAnsi="Times New Roman"/>
          <w:noProof/>
          <w:sz w:val="28"/>
          <w:szCs w:val="28"/>
          <w:lang w:eastAsia="ru-RU"/>
        </w:rPr>
      </w:pPr>
      <w:r w:rsidRPr="00020918">
        <w:rPr>
          <w:rFonts w:ascii="Times New Roman" w:hAnsi="Times New Roman"/>
          <w:noProof/>
          <w:sz w:val="28"/>
          <w:szCs w:val="28"/>
          <w:lang w:eastAsia="ru-RU"/>
        </w:rPr>
        <w:t xml:space="preserve">В сфере образования реализуется 8 муниципальных и 1 государственная услуга </w:t>
      </w:r>
      <w:r>
        <w:rPr>
          <w:rFonts w:ascii="Times New Roman" w:hAnsi="Times New Roman"/>
          <w:noProof/>
          <w:sz w:val="28"/>
          <w:szCs w:val="28"/>
          <w:lang w:eastAsia="ru-RU"/>
        </w:rPr>
        <w:t>в электронном виде.</w:t>
      </w:r>
    </w:p>
    <w:p w:rsidR="00D92F56" w:rsidRDefault="00D92F56" w:rsidP="00D92F5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образования, образовательными организациями  созданы условия для реализации электронных услуг: родителям предоставляется автоматизированное рабочее место, оказывается консультативная помощь. Плановые показатели по реализации электронных услуг выполняются. </w:t>
      </w:r>
    </w:p>
    <w:p w:rsidR="008658FC" w:rsidRDefault="008658FC" w:rsidP="008658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375F">
        <w:rPr>
          <w:rFonts w:ascii="Times New Roman" w:hAnsi="Times New Roman"/>
          <w:b/>
          <w:sz w:val="28"/>
          <w:szCs w:val="28"/>
        </w:rPr>
        <w:t>2.4.</w:t>
      </w:r>
      <w:r>
        <w:rPr>
          <w:rFonts w:ascii="Times New Roman" w:hAnsi="Times New Roman"/>
          <w:b/>
          <w:sz w:val="28"/>
          <w:szCs w:val="28"/>
        </w:rPr>
        <w:t xml:space="preserve"> Развитие кадрового потенциала</w:t>
      </w:r>
    </w:p>
    <w:p w:rsidR="008658FC" w:rsidRDefault="008658FC" w:rsidP="008658FC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муниципальной </w:t>
      </w:r>
      <w:r w:rsidR="00A05E6E">
        <w:rPr>
          <w:rFonts w:ascii="Times New Roman" w:hAnsi="Times New Roman"/>
          <w:sz w:val="28"/>
          <w:szCs w:val="28"/>
        </w:rPr>
        <w:t>системе образования трудится 235</w:t>
      </w:r>
      <w:r>
        <w:rPr>
          <w:rFonts w:ascii="Times New Roman" w:hAnsi="Times New Roman"/>
          <w:sz w:val="28"/>
          <w:szCs w:val="28"/>
        </w:rPr>
        <w:t xml:space="preserve"> педагогических  </w:t>
      </w:r>
    </w:p>
    <w:p w:rsidR="008658FC" w:rsidRDefault="00B66067" w:rsidP="008658F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работников, из них 146</w:t>
      </w:r>
      <w:r w:rsidR="008658FC">
        <w:rPr>
          <w:rFonts w:ascii="Times New Roman" w:hAnsi="Times New Roman"/>
          <w:sz w:val="28"/>
          <w:szCs w:val="28"/>
        </w:rPr>
        <w:t xml:space="preserve"> име</w:t>
      </w:r>
      <w:r w:rsidR="00A05E6E">
        <w:rPr>
          <w:rFonts w:ascii="Times New Roman" w:hAnsi="Times New Roman"/>
          <w:sz w:val="28"/>
          <w:szCs w:val="28"/>
        </w:rPr>
        <w:t>ют высшее образование (</w:t>
      </w:r>
      <w:r w:rsidR="00801311">
        <w:rPr>
          <w:rFonts w:ascii="Times New Roman" w:hAnsi="Times New Roman"/>
          <w:sz w:val="28"/>
          <w:szCs w:val="28"/>
        </w:rPr>
        <w:t>62%), 137</w:t>
      </w:r>
      <w:r w:rsidR="00A05E6E">
        <w:rPr>
          <w:rFonts w:ascii="Times New Roman" w:hAnsi="Times New Roman"/>
          <w:sz w:val="28"/>
          <w:szCs w:val="28"/>
        </w:rPr>
        <w:t xml:space="preserve"> человек   (</w:t>
      </w:r>
      <w:r w:rsidR="00801311">
        <w:rPr>
          <w:rFonts w:ascii="Times New Roman" w:hAnsi="Times New Roman"/>
          <w:sz w:val="28"/>
          <w:szCs w:val="28"/>
        </w:rPr>
        <w:t>58%</w:t>
      </w:r>
      <w:r w:rsidR="008658FC">
        <w:rPr>
          <w:rFonts w:ascii="Times New Roman" w:hAnsi="Times New Roman"/>
          <w:sz w:val="28"/>
          <w:szCs w:val="28"/>
        </w:rPr>
        <w:t>) имеют высшую квалификационную категорию.</w:t>
      </w:r>
    </w:p>
    <w:p w:rsidR="008658FC" w:rsidRDefault="008658FC" w:rsidP="008658F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росте профессионализма педагогических кадров свидетельствует положительная динамика количества педагогов, аттестованных на высшую квалификационную категорию.</w:t>
      </w:r>
    </w:p>
    <w:p w:rsidR="00B92F6E" w:rsidRDefault="00B92F6E" w:rsidP="008658F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76F69" w:rsidRDefault="00076F69" w:rsidP="008658F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76F6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86325" cy="23812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6F69" w:rsidRDefault="00076F69" w:rsidP="008658F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76F69" w:rsidRDefault="00076F69" w:rsidP="008658F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D5BA7" w:rsidRDefault="008D5BA7" w:rsidP="008D5BA7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Выводы и заключения</w:t>
      </w:r>
    </w:p>
    <w:p w:rsidR="008D5BA7" w:rsidRPr="001C7C59" w:rsidRDefault="008D5BA7" w:rsidP="008D5BA7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1C7C59">
        <w:rPr>
          <w:rFonts w:ascii="Times New Roman" w:hAnsi="Times New Roman"/>
          <w:sz w:val="28"/>
          <w:szCs w:val="28"/>
        </w:rPr>
        <w:t xml:space="preserve">По результатам проведённого анализа </w:t>
      </w:r>
      <w:r>
        <w:rPr>
          <w:rFonts w:ascii="Times New Roman" w:hAnsi="Times New Roman"/>
          <w:sz w:val="28"/>
          <w:szCs w:val="28"/>
        </w:rPr>
        <w:t xml:space="preserve">состояния и перспектив развития системы образования Харовского муниципального района </w:t>
      </w:r>
      <w:r w:rsidRPr="001C7C59">
        <w:rPr>
          <w:rFonts w:ascii="Times New Roman" w:hAnsi="Times New Roman"/>
          <w:sz w:val="28"/>
          <w:szCs w:val="28"/>
        </w:rPr>
        <w:t xml:space="preserve"> можно сделать  вывод, что в </w:t>
      </w:r>
      <w:r w:rsidRPr="001C7C59">
        <w:rPr>
          <w:rFonts w:ascii="Times New Roman" w:hAnsi="Times New Roman"/>
          <w:sz w:val="28"/>
          <w:szCs w:val="28"/>
          <w:lang w:eastAsia="ru-RU"/>
        </w:rPr>
        <w:t xml:space="preserve"> муниципальной системе образования за отчетный период осуществлялась системная работа, направленная на создание условий для реализации доступного, качественного обучения, воспитания и развития, формирования комфортной и безопасной социальной среды. </w:t>
      </w:r>
    </w:p>
    <w:p w:rsidR="00CD64CF" w:rsidRDefault="00CD64CF" w:rsidP="00CD64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муниципальной системы образования на 2016 год:</w:t>
      </w:r>
    </w:p>
    <w:p w:rsidR="00CD64CF" w:rsidRDefault="00CD64CF" w:rsidP="00CD64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введения ФГОС основного общего образования, ФГОС дошкольного образования;</w:t>
      </w:r>
    </w:p>
    <w:p w:rsidR="008658FC" w:rsidRPr="00121E35" w:rsidRDefault="008658FC" w:rsidP="008658FC">
      <w:pPr>
        <w:pStyle w:val="a7"/>
        <w:tabs>
          <w:tab w:val="left" w:pos="0"/>
          <w:tab w:val="left" w:pos="284"/>
          <w:tab w:val="left" w:pos="993"/>
        </w:tabs>
        <w:spacing w:after="0"/>
        <w:ind w:left="360"/>
        <w:rPr>
          <w:rFonts w:ascii="Times New Roman" w:hAnsi="Times New Roman"/>
          <w:bCs/>
          <w:sz w:val="28"/>
          <w:szCs w:val="28"/>
        </w:rPr>
      </w:pPr>
      <w:r w:rsidRPr="00121E35">
        <w:rPr>
          <w:rFonts w:ascii="Times New Roman" w:hAnsi="Times New Roman"/>
          <w:sz w:val="28"/>
          <w:szCs w:val="28"/>
        </w:rPr>
        <w:t xml:space="preserve">       -  совершенствование условий для удовлетворения образовательных запросов детей с ограниченными возможностями здоровья и детей-инвалидов, для развития их индивидуальных способностей; </w:t>
      </w:r>
    </w:p>
    <w:p w:rsidR="008658FC" w:rsidRPr="00121E35" w:rsidRDefault="008658FC" w:rsidP="008658FC">
      <w:pPr>
        <w:pStyle w:val="a7"/>
        <w:tabs>
          <w:tab w:val="left" w:pos="0"/>
          <w:tab w:val="left" w:pos="284"/>
          <w:tab w:val="left" w:pos="993"/>
        </w:tabs>
        <w:spacing w:after="0"/>
        <w:ind w:left="360"/>
        <w:rPr>
          <w:rFonts w:ascii="Times New Roman" w:hAnsi="Times New Roman"/>
          <w:bCs/>
          <w:sz w:val="28"/>
          <w:szCs w:val="28"/>
        </w:rPr>
      </w:pPr>
      <w:r w:rsidRPr="00121E35">
        <w:rPr>
          <w:rFonts w:ascii="Times New Roman" w:hAnsi="Times New Roman"/>
          <w:sz w:val="28"/>
          <w:szCs w:val="28"/>
        </w:rPr>
        <w:t xml:space="preserve">       -  совершенствование условий, обеспечивающих выявление, развитие и поддержку одаренных детей;</w:t>
      </w:r>
      <w:r w:rsidRPr="00121E35">
        <w:rPr>
          <w:rFonts w:ascii="Times New Roman" w:hAnsi="Times New Roman"/>
          <w:bCs/>
          <w:sz w:val="28"/>
          <w:szCs w:val="28"/>
        </w:rPr>
        <w:t xml:space="preserve"> </w:t>
      </w:r>
    </w:p>
    <w:p w:rsidR="008658FC" w:rsidRPr="00121E35" w:rsidRDefault="008658FC" w:rsidP="008658FC">
      <w:pPr>
        <w:pStyle w:val="a7"/>
        <w:tabs>
          <w:tab w:val="left" w:pos="0"/>
          <w:tab w:val="left" w:pos="284"/>
          <w:tab w:val="left" w:pos="993"/>
        </w:tabs>
        <w:spacing w:after="0"/>
        <w:ind w:left="360"/>
        <w:rPr>
          <w:rFonts w:ascii="Times New Roman" w:hAnsi="Times New Roman"/>
          <w:bCs/>
          <w:sz w:val="28"/>
          <w:szCs w:val="28"/>
        </w:rPr>
      </w:pPr>
      <w:r w:rsidRPr="00121E35">
        <w:rPr>
          <w:rFonts w:ascii="Times New Roman" w:hAnsi="Times New Roman"/>
          <w:sz w:val="28"/>
          <w:szCs w:val="28"/>
        </w:rPr>
        <w:t xml:space="preserve">       - создание условий для повышения качества образовательных результатов обучающихся.</w:t>
      </w:r>
    </w:p>
    <w:p w:rsidR="00CD64CF" w:rsidRDefault="00CD64CF" w:rsidP="00CD64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потенциала дополнительного образования;</w:t>
      </w:r>
    </w:p>
    <w:p w:rsidR="00CD64CF" w:rsidRDefault="00CD64CF" w:rsidP="00CD64CF">
      <w:pPr>
        <w:contextualSpacing/>
        <w:rPr>
          <w:rFonts w:ascii="Times New Roman" w:hAnsi="Times New Roman"/>
          <w:sz w:val="28"/>
          <w:szCs w:val="28"/>
        </w:rPr>
      </w:pPr>
      <w:r>
        <w:tab/>
      </w:r>
      <w:r w:rsidRPr="00A526E3">
        <w:rPr>
          <w:rFonts w:ascii="Times New Roman" w:hAnsi="Times New Roman"/>
        </w:rPr>
        <w:t xml:space="preserve">-  </w:t>
      </w:r>
      <w:r w:rsidRPr="00A526E3">
        <w:rPr>
          <w:rFonts w:ascii="Times New Roman" w:hAnsi="Times New Roman"/>
          <w:sz w:val="28"/>
          <w:szCs w:val="28"/>
        </w:rPr>
        <w:t>профилизация третьей ступени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CD64CF" w:rsidRDefault="00CD64CF" w:rsidP="00CD64CF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переход на односменный режим работы.</w:t>
      </w:r>
    </w:p>
    <w:p w:rsidR="00CD64CF" w:rsidRDefault="00CD64CF" w:rsidP="00CD64CF">
      <w:pPr>
        <w:contextualSpacing/>
        <w:rPr>
          <w:rFonts w:ascii="Times New Roman" w:hAnsi="Times New Roman"/>
          <w:sz w:val="28"/>
          <w:szCs w:val="28"/>
        </w:rPr>
      </w:pPr>
    </w:p>
    <w:p w:rsidR="00CD64CF" w:rsidRDefault="00CD64CF" w:rsidP="00CD64CF"/>
    <w:p w:rsidR="006C398D" w:rsidRDefault="006C398D" w:rsidP="006C39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078" w:rsidRDefault="00031078" w:rsidP="00031078">
      <w:pPr>
        <w:contextualSpacing/>
        <w:rPr>
          <w:rFonts w:ascii="Times New Roman" w:hAnsi="Times New Roman"/>
          <w:sz w:val="28"/>
          <w:szCs w:val="28"/>
        </w:rPr>
      </w:pPr>
    </w:p>
    <w:sectPr w:rsidR="00031078" w:rsidSect="00753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12"/>
    <w:rsid w:val="00031078"/>
    <w:rsid w:val="00076F69"/>
    <w:rsid w:val="00081B12"/>
    <w:rsid w:val="00095427"/>
    <w:rsid w:val="000A05E3"/>
    <w:rsid w:val="000B1363"/>
    <w:rsid w:val="000B4AD2"/>
    <w:rsid w:val="001E192C"/>
    <w:rsid w:val="001E7D89"/>
    <w:rsid w:val="00293D92"/>
    <w:rsid w:val="002D44B0"/>
    <w:rsid w:val="003364FB"/>
    <w:rsid w:val="0035405C"/>
    <w:rsid w:val="003A2E1E"/>
    <w:rsid w:val="003B40C5"/>
    <w:rsid w:val="00442E03"/>
    <w:rsid w:val="004B2C1A"/>
    <w:rsid w:val="004C724F"/>
    <w:rsid w:val="00504217"/>
    <w:rsid w:val="005501ED"/>
    <w:rsid w:val="005A38FA"/>
    <w:rsid w:val="005C1771"/>
    <w:rsid w:val="005C7194"/>
    <w:rsid w:val="005C79CD"/>
    <w:rsid w:val="00687723"/>
    <w:rsid w:val="006C398D"/>
    <w:rsid w:val="006D56DC"/>
    <w:rsid w:val="00706D9B"/>
    <w:rsid w:val="007535DE"/>
    <w:rsid w:val="00801311"/>
    <w:rsid w:val="008620A5"/>
    <w:rsid w:val="008658FC"/>
    <w:rsid w:val="008D5BA7"/>
    <w:rsid w:val="008F5D58"/>
    <w:rsid w:val="00913C0B"/>
    <w:rsid w:val="00945ABA"/>
    <w:rsid w:val="00963B61"/>
    <w:rsid w:val="00982400"/>
    <w:rsid w:val="009A33BD"/>
    <w:rsid w:val="009B463A"/>
    <w:rsid w:val="009C05BE"/>
    <w:rsid w:val="00A01BD5"/>
    <w:rsid w:val="00A05E6E"/>
    <w:rsid w:val="00A513B5"/>
    <w:rsid w:val="00A577FB"/>
    <w:rsid w:val="00A9378E"/>
    <w:rsid w:val="00AA0CDC"/>
    <w:rsid w:val="00B66067"/>
    <w:rsid w:val="00B8215A"/>
    <w:rsid w:val="00B910A1"/>
    <w:rsid w:val="00B92F6E"/>
    <w:rsid w:val="00B93CEF"/>
    <w:rsid w:val="00BC7D66"/>
    <w:rsid w:val="00C257AE"/>
    <w:rsid w:val="00CA70DF"/>
    <w:rsid w:val="00CB19CD"/>
    <w:rsid w:val="00CD3402"/>
    <w:rsid w:val="00CD64CF"/>
    <w:rsid w:val="00D860D6"/>
    <w:rsid w:val="00D92F56"/>
    <w:rsid w:val="00DE08F9"/>
    <w:rsid w:val="00DF5229"/>
    <w:rsid w:val="00E042E3"/>
    <w:rsid w:val="00E66519"/>
    <w:rsid w:val="00EB011C"/>
    <w:rsid w:val="00F177F5"/>
    <w:rsid w:val="00F2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1B12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081B12"/>
    <w:pPr>
      <w:spacing w:after="0" w:line="240" w:lineRule="auto"/>
      <w:ind w:firstLine="709"/>
    </w:pPr>
    <w:rPr>
      <w:rFonts w:ascii="Times New Roman" w:eastAsia="Times New Roman" w:hAnsi="Times New Roman"/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81B12"/>
    <w:rPr>
      <w:rFonts w:ascii="Times New Roman" w:eastAsia="Times New Roman" w:hAnsi="Times New Roman" w:cs="Times New Roman"/>
      <w:sz w:val="26"/>
      <w:szCs w:val="20"/>
    </w:rPr>
  </w:style>
  <w:style w:type="paragraph" w:customStyle="1" w:styleId="a4">
    <w:name w:val="Содержимое таблицы"/>
    <w:basedOn w:val="a"/>
    <w:uiPriority w:val="99"/>
    <w:rsid w:val="00081B12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rsid w:val="00081B1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6C398D"/>
    <w:pPr>
      <w:ind w:left="720"/>
      <w:contextualSpacing/>
      <w:jc w:val="left"/>
    </w:pPr>
  </w:style>
  <w:style w:type="paragraph" w:styleId="a7">
    <w:name w:val="Body Text Indent"/>
    <w:basedOn w:val="a"/>
    <w:link w:val="a8"/>
    <w:uiPriority w:val="99"/>
    <w:rsid w:val="006C398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C398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4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2E03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0B1363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B19CD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B910A1"/>
    <w:pPr>
      <w:widowControl w:val="0"/>
      <w:suppressAutoHyphens/>
      <w:spacing w:after="0" w:line="240" w:lineRule="auto"/>
      <w:ind w:left="720"/>
      <w:contextualSpacing/>
      <w:jc w:val="left"/>
    </w:pPr>
    <w:rPr>
      <w:rFonts w:ascii="Arial" w:eastAsia="Times New Roman" w:hAnsi="Arial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1B12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081B12"/>
    <w:pPr>
      <w:spacing w:after="0" w:line="240" w:lineRule="auto"/>
      <w:ind w:firstLine="709"/>
    </w:pPr>
    <w:rPr>
      <w:rFonts w:ascii="Times New Roman" w:eastAsia="Times New Roman" w:hAnsi="Times New Roman"/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81B12"/>
    <w:rPr>
      <w:rFonts w:ascii="Times New Roman" w:eastAsia="Times New Roman" w:hAnsi="Times New Roman" w:cs="Times New Roman"/>
      <w:sz w:val="26"/>
      <w:szCs w:val="20"/>
    </w:rPr>
  </w:style>
  <w:style w:type="paragraph" w:customStyle="1" w:styleId="a4">
    <w:name w:val="Содержимое таблицы"/>
    <w:basedOn w:val="a"/>
    <w:uiPriority w:val="99"/>
    <w:rsid w:val="00081B12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rsid w:val="00081B1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6C398D"/>
    <w:pPr>
      <w:ind w:left="720"/>
      <w:contextualSpacing/>
      <w:jc w:val="left"/>
    </w:pPr>
  </w:style>
  <w:style w:type="paragraph" w:styleId="a7">
    <w:name w:val="Body Text Indent"/>
    <w:basedOn w:val="a"/>
    <w:link w:val="a8"/>
    <w:uiPriority w:val="99"/>
    <w:rsid w:val="006C398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C398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4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2E03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0B1363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B19CD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B910A1"/>
    <w:pPr>
      <w:widowControl w:val="0"/>
      <w:suppressAutoHyphens/>
      <w:spacing w:after="0" w:line="240" w:lineRule="auto"/>
      <w:ind w:left="720"/>
      <w:contextualSpacing/>
      <w:jc w:val="left"/>
    </w:pPr>
    <w:rPr>
      <w:rFonts w:ascii="Arial" w:eastAsia="Times New Roman" w:hAnsi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arovsk_uo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9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821615896068112E-2"/>
          <c:y val="8.7912087912087933E-2"/>
          <c:w val="0.69372155965884441"/>
          <c:h val="0.751418352117749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 категория</c:v>
                </c:pt>
              </c:strCache>
            </c:strRef>
          </c:tx>
          <c:spPr>
            <a:solidFill>
              <a:srgbClr val="9999FF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Sheet1!$B$1:$F$1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25.1</c:v>
                </c:pt>
                <c:pt idx="1">
                  <c:v>28.2</c:v>
                </c:pt>
                <c:pt idx="2">
                  <c:v>37.800000000000004</c:v>
                </c:pt>
                <c:pt idx="3">
                  <c:v>49</c:v>
                </c:pt>
                <c:pt idx="4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1118080"/>
        <c:axId val="161119616"/>
        <c:axId val="0"/>
      </c:bar3DChart>
      <c:catAx>
        <c:axId val="161118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1119616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61119616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1118080"/>
        <c:crosses val="autoZero"/>
        <c:crossBetween val="between"/>
      </c:valAx>
      <c:spPr>
        <a:noFill/>
        <a:ln w="25382">
          <a:noFill/>
        </a:ln>
      </c:spPr>
    </c:plotArea>
    <c:legend>
      <c:legendPos val="r"/>
      <c:layout>
        <c:manualLayout>
          <c:xMode val="edge"/>
          <c:yMode val="edge"/>
          <c:x val="0.62443431413178641"/>
          <c:y val="0.64247475065616821"/>
          <c:w val="0.37332596583321848"/>
          <c:h val="0.12728714350036796"/>
        </c:manualLayout>
      </c:layout>
      <c:overlay val="0"/>
      <c:spPr>
        <a:noFill/>
        <a:ln w="3173">
          <a:solidFill>
            <a:sysClr val="window" lastClr="FFFFFF"/>
          </a:solidFill>
          <a:prstDash val="solid"/>
        </a:ln>
      </c:spPr>
      <c:txPr>
        <a:bodyPr/>
        <a:lstStyle/>
        <a:p>
          <a:pPr>
            <a:defRPr sz="119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343F4-0628-4BA0-A4AF-05F997A0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ОН</cp:lastModifiedBy>
  <cp:revision>2</cp:revision>
  <cp:lastPrinted>2016-10-20T06:24:00Z</cp:lastPrinted>
  <dcterms:created xsi:type="dcterms:W3CDTF">2018-11-12T06:26:00Z</dcterms:created>
  <dcterms:modified xsi:type="dcterms:W3CDTF">2018-11-12T06:26:00Z</dcterms:modified>
</cp:coreProperties>
</file>